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0857" w14:textId="4488509F" w:rsidR="0082474D" w:rsidRPr="00F70135" w:rsidRDefault="0082474D" w:rsidP="00F70135">
      <w:pPr>
        <w:jc w:val="both"/>
        <w:rPr>
          <w:rFonts w:ascii="Arial" w:hAnsi="Arial" w:cs="Arial"/>
          <w:sz w:val="20"/>
          <w:szCs w:val="20"/>
        </w:rPr>
      </w:pPr>
      <w:r w:rsidRPr="00F70135">
        <w:rPr>
          <w:rFonts w:ascii="Arial" w:hAnsi="Arial" w:cs="Arial"/>
          <w:sz w:val="20"/>
          <w:szCs w:val="20"/>
        </w:rPr>
        <w:t xml:space="preserve">The information contained within this announcement is deemed by the Company to constitute inside information as stipulated under the </w:t>
      </w:r>
      <w:r w:rsidR="008314E6" w:rsidRPr="00F70135">
        <w:rPr>
          <w:rFonts w:ascii="Arial" w:hAnsi="Arial" w:cs="Arial"/>
          <w:sz w:val="20"/>
          <w:szCs w:val="20"/>
        </w:rPr>
        <w:t>UK Market Abuse Regulation</w:t>
      </w:r>
      <w:r w:rsidRPr="00F70135">
        <w:rPr>
          <w:rFonts w:ascii="Arial" w:hAnsi="Arial" w:cs="Arial"/>
          <w:sz w:val="20"/>
          <w:szCs w:val="20"/>
        </w:rPr>
        <w:t>. Upon the publication of the announcement via a regulatory information service, this information is considered to be in the public domain.</w:t>
      </w:r>
    </w:p>
    <w:p w14:paraId="41FB84DD" w14:textId="77777777" w:rsidR="0082474D" w:rsidRPr="00216198" w:rsidRDefault="0082474D" w:rsidP="006F6E31">
      <w:pPr>
        <w:rPr>
          <w:rFonts w:asciiTheme="minorBidi" w:hAnsiTheme="minorBidi"/>
          <w:sz w:val="20"/>
          <w:szCs w:val="20"/>
        </w:rPr>
      </w:pPr>
    </w:p>
    <w:p w14:paraId="37E6F8B2" w14:textId="43C043F2" w:rsidR="006F6E31" w:rsidRPr="00216198" w:rsidRDefault="006F6E31" w:rsidP="006F6E31">
      <w:pPr>
        <w:rPr>
          <w:rFonts w:asciiTheme="minorBidi" w:hAnsiTheme="minorBidi"/>
          <w:sz w:val="20"/>
          <w:szCs w:val="20"/>
        </w:rPr>
      </w:pPr>
      <w:r w:rsidRPr="00216198">
        <w:rPr>
          <w:rFonts w:asciiTheme="minorBidi" w:hAnsiTheme="minorBidi"/>
          <w:noProof/>
          <w:sz w:val="20"/>
          <w:szCs w:val="20"/>
        </w:rPr>
        <w:drawing>
          <wp:anchor distT="0" distB="0" distL="114300" distR="114300" simplePos="0" relativeHeight="251658240" behindDoc="1" locked="0" layoutInCell="1" allowOverlap="1" wp14:anchorId="5A0D1B24" wp14:editId="43D72598">
            <wp:simplePos x="0" y="0"/>
            <wp:positionH relativeFrom="margin">
              <wp:posOffset>2178050</wp:posOffset>
            </wp:positionH>
            <wp:positionV relativeFrom="paragraph">
              <wp:posOffset>63500</wp:posOffset>
            </wp:positionV>
            <wp:extent cx="1179830" cy="528320"/>
            <wp:effectExtent l="0" t="0" r="1270" b="5080"/>
            <wp:wrapTight wrapText="bothSides">
              <wp:wrapPolygon edited="0">
                <wp:start x="2093" y="0"/>
                <wp:lineTo x="698" y="4673"/>
                <wp:lineTo x="0" y="13240"/>
                <wp:lineTo x="0" y="16356"/>
                <wp:lineTo x="1395" y="20250"/>
                <wp:lineTo x="2441" y="21029"/>
                <wp:lineTo x="21274" y="21029"/>
                <wp:lineTo x="21274" y="19471"/>
                <wp:lineTo x="20926" y="17135"/>
                <wp:lineTo x="19879" y="13240"/>
                <wp:lineTo x="21274" y="1558"/>
                <wp:lineTo x="20577" y="779"/>
                <wp:lineTo x="13253" y="0"/>
                <wp:lineTo x="2093"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830" cy="528320"/>
                    </a:xfrm>
                    <a:prstGeom prst="rect">
                      <a:avLst/>
                    </a:prstGeom>
                    <a:noFill/>
                  </pic:spPr>
                </pic:pic>
              </a:graphicData>
            </a:graphic>
            <wp14:sizeRelH relativeFrom="page">
              <wp14:pctWidth>0</wp14:pctWidth>
            </wp14:sizeRelH>
            <wp14:sizeRelV relativeFrom="page">
              <wp14:pctHeight>0</wp14:pctHeight>
            </wp14:sizeRelV>
          </wp:anchor>
        </w:drawing>
      </w:r>
    </w:p>
    <w:p w14:paraId="32DFA194" w14:textId="77777777" w:rsidR="006F6E31" w:rsidRPr="00216198" w:rsidRDefault="006F6E31" w:rsidP="006F6E31">
      <w:pPr>
        <w:rPr>
          <w:rFonts w:asciiTheme="minorBidi" w:hAnsiTheme="minorBidi"/>
          <w:sz w:val="20"/>
          <w:szCs w:val="20"/>
        </w:rPr>
      </w:pPr>
    </w:p>
    <w:p w14:paraId="4846673C" w14:textId="125A2067" w:rsidR="006F6E31" w:rsidRPr="00216198" w:rsidRDefault="002F0F64" w:rsidP="003A145A">
      <w:pPr>
        <w:tabs>
          <w:tab w:val="left" w:pos="0"/>
          <w:tab w:val="left" w:pos="426"/>
        </w:tabs>
        <w:rPr>
          <w:rFonts w:asciiTheme="minorBidi" w:hAnsiTheme="minorBidi"/>
          <w:sz w:val="20"/>
          <w:szCs w:val="20"/>
        </w:rPr>
      </w:pPr>
      <w:r>
        <w:rPr>
          <w:rFonts w:asciiTheme="minorBidi" w:hAnsiTheme="minorBidi"/>
          <w:sz w:val="20"/>
          <w:szCs w:val="20"/>
        </w:rPr>
        <w:t>5</w:t>
      </w:r>
      <w:r w:rsidR="0082474D" w:rsidRPr="00216198">
        <w:rPr>
          <w:rFonts w:asciiTheme="minorBidi" w:hAnsiTheme="minorBidi"/>
          <w:sz w:val="20"/>
          <w:szCs w:val="20"/>
        </w:rPr>
        <w:t xml:space="preserve"> July</w:t>
      </w:r>
      <w:r w:rsidR="007C4780" w:rsidRPr="00216198">
        <w:rPr>
          <w:rFonts w:asciiTheme="minorBidi" w:hAnsiTheme="minorBidi"/>
          <w:sz w:val="20"/>
          <w:szCs w:val="20"/>
        </w:rPr>
        <w:t xml:space="preserve"> </w:t>
      </w:r>
      <w:r w:rsidR="006F6E31" w:rsidRPr="00216198">
        <w:rPr>
          <w:rFonts w:asciiTheme="minorBidi" w:hAnsiTheme="minorBidi"/>
          <w:sz w:val="20"/>
          <w:szCs w:val="20"/>
        </w:rPr>
        <w:t xml:space="preserve">2022 </w:t>
      </w:r>
    </w:p>
    <w:p w14:paraId="4FF332AD" w14:textId="77777777" w:rsidR="006F6E31" w:rsidRPr="00216198" w:rsidRDefault="006F6E31" w:rsidP="004C4E48">
      <w:pPr>
        <w:spacing w:after="0" w:line="240" w:lineRule="auto"/>
        <w:jc w:val="center"/>
        <w:rPr>
          <w:rFonts w:asciiTheme="minorBidi" w:hAnsiTheme="minorBidi"/>
          <w:b/>
          <w:bCs/>
          <w:sz w:val="20"/>
          <w:szCs w:val="20"/>
        </w:rPr>
      </w:pPr>
      <w:r w:rsidRPr="00216198">
        <w:rPr>
          <w:rFonts w:asciiTheme="minorBidi" w:hAnsiTheme="minorBidi"/>
          <w:b/>
          <w:bCs/>
          <w:sz w:val="20"/>
          <w:szCs w:val="20"/>
        </w:rPr>
        <w:t>Eight Capital Partners plc</w:t>
      </w:r>
    </w:p>
    <w:p w14:paraId="3FEBF46F" w14:textId="61FFF952" w:rsidR="006F6E31" w:rsidRPr="00216198" w:rsidRDefault="006F6E31" w:rsidP="004C4E48">
      <w:pPr>
        <w:spacing w:after="0" w:line="240" w:lineRule="auto"/>
        <w:jc w:val="center"/>
        <w:rPr>
          <w:rFonts w:asciiTheme="minorBidi" w:hAnsiTheme="minorBidi"/>
          <w:b/>
          <w:bCs/>
          <w:sz w:val="20"/>
          <w:szCs w:val="20"/>
        </w:rPr>
      </w:pPr>
      <w:r w:rsidRPr="00216198">
        <w:rPr>
          <w:rFonts w:asciiTheme="minorBidi" w:hAnsiTheme="minorBidi"/>
          <w:b/>
          <w:bCs/>
          <w:sz w:val="20"/>
          <w:szCs w:val="20"/>
        </w:rPr>
        <w:t>(“ECP”, “Eight Capital” or “the Company”)</w:t>
      </w:r>
    </w:p>
    <w:p w14:paraId="340CA96A" w14:textId="64CC0D30" w:rsidR="006F6E31" w:rsidRPr="00216198" w:rsidRDefault="006F6E31" w:rsidP="004C4E48">
      <w:pPr>
        <w:spacing w:after="0" w:line="240" w:lineRule="auto"/>
        <w:jc w:val="center"/>
        <w:rPr>
          <w:rFonts w:asciiTheme="minorBidi" w:hAnsiTheme="minorBidi"/>
          <w:b/>
          <w:bCs/>
          <w:sz w:val="20"/>
          <w:szCs w:val="20"/>
        </w:rPr>
      </w:pPr>
    </w:p>
    <w:p w14:paraId="640FFFCD" w14:textId="77777777" w:rsidR="00F70135" w:rsidRDefault="002D0580" w:rsidP="00BB556D">
      <w:pPr>
        <w:spacing w:after="0" w:line="300" w:lineRule="atLeast"/>
        <w:jc w:val="center"/>
        <w:rPr>
          <w:rFonts w:asciiTheme="minorBidi" w:eastAsia="Times New Roman" w:hAnsiTheme="minorBidi"/>
          <w:b/>
          <w:bCs/>
          <w:color w:val="000000"/>
          <w:sz w:val="20"/>
          <w:szCs w:val="20"/>
          <w:lang w:eastAsia="en-GB"/>
        </w:rPr>
      </w:pPr>
      <w:r w:rsidRPr="00912F89">
        <w:rPr>
          <w:rFonts w:asciiTheme="minorBidi" w:eastAsia="Times New Roman" w:hAnsiTheme="minorBidi"/>
          <w:b/>
          <w:bCs/>
          <w:color w:val="000000"/>
          <w:sz w:val="20"/>
          <w:szCs w:val="20"/>
          <w:lang w:eastAsia="en-GB"/>
        </w:rPr>
        <w:t xml:space="preserve">Proposed </w:t>
      </w:r>
      <w:r w:rsidR="001B78D8" w:rsidRPr="00912F89">
        <w:rPr>
          <w:rFonts w:asciiTheme="minorBidi" w:eastAsia="Times New Roman" w:hAnsiTheme="minorBidi"/>
          <w:b/>
          <w:bCs/>
          <w:color w:val="000000"/>
          <w:sz w:val="20"/>
          <w:szCs w:val="20"/>
          <w:lang w:eastAsia="en-GB"/>
        </w:rPr>
        <w:t xml:space="preserve">debt conversions </w:t>
      </w:r>
      <w:r w:rsidRPr="00912F89">
        <w:rPr>
          <w:rFonts w:asciiTheme="minorBidi" w:eastAsia="Times New Roman" w:hAnsiTheme="minorBidi"/>
          <w:b/>
          <w:bCs/>
          <w:color w:val="000000"/>
          <w:sz w:val="20"/>
          <w:szCs w:val="20"/>
          <w:lang w:eastAsia="en-GB"/>
        </w:rPr>
        <w:t xml:space="preserve">into </w:t>
      </w:r>
      <w:r w:rsidR="00912F89" w:rsidRPr="00912F89">
        <w:rPr>
          <w:rFonts w:asciiTheme="minorBidi" w:eastAsia="Times New Roman" w:hAnsiTheme="minorBidi"/>
          <w:b/>
          <w:bCs/>
          <w:color w:val="000000"/>
          <w:sz w:val="20"/>
          <w:szCs w:val="20"/>
          <w:lang w:eastAsia="en-GB"/>
        </w:rPr>
        <w:t>N</w:t>
      </w:r>
      <w:r w:rsidRPr="00912F89">
        <w:rPr>
          <w:rFonts w:asciiTheme="minorBidi" w:eastAsia="Times New Roman" w:hAnsiTheme="minorBidi"/>
          <w:b/>
          <w:bCs/>
          <w:color w:val="000000"/>
          <w:sz w:val="20"/>
          <w:szCs w:val="20"/>
          <w:lang w:eastAsia="en-GB"/>
        </w:rPr>
        <w:t>ew Ordinary Shares,</w:t>
      </w:r>
      <w:r w:rsidR="005E58A7" w:rsidRPr="00912F89">
        <w:rPr>
          <w:rFonts w:asciiTheme="minorBidi" w:eastAsia="Times New Roman" w:hAnsiTheme="minorBidi"/>
          <w:b/>
          <w:bCs/>
          <w:color w:val="000000"/>
          <w:sz w:val="20"/>
          <w:szCs w:val="20"/>
          <w:lang w:eastAsia="en-GB"/>
        </w:rPr>
        <w:t xml:space="preserve"> </w:t>
      </w:r>
      <w:r w:rsidRPr="00912F89">
        <w:rPr>
          <w:rFonts w:asciiTheme="minorBidi" w:eastAsia="Times New Roman" w:hAnsiTheme="minorBidi"/>
          <w:b/>
          <w:bCs/>
          <w:color w:val="000000"/>
          <w:sz w:val="20"/>
          <w:szCs w:val="20"/>
          <w:lang w:eastAsia="en-GB"/>
        </w:rPr>
        <w:t xml:space="preserve">Rule 9 Waiver </w:t>
      </w:r>
    </w:p>
    <w:p w14:paraId="5515B475" w14:textId="544F1B9D" w:rsidR="00544EBF" w:rsidRDefault="00B30BAF" w:rsidP="00BB556D">
      <w:pPr>
        <w:spacing w:after="0" w:line="300" w:lineRule="atLeast"/>
        <w:jc w:val="center"/>
        <w:rPr>
          <w:rFonts w:asciiTheme="minorBidi" w:eastAsia="Times New Roman" w:hAnsiTheme="minorBidi"/>
          <w:b/>
          <w:bCs/>
          <w:color w:val="000000"/>
          <w:sz w:val="20"/>
          <w:szCs w:val="20"/>
          <w:lang w:eastAsia="en-GB"/>
        </w:rPr>
      </w:pPr>
      <w:r>
        <w:rPr>
          <w:rFonts w:asciiTheme="minorBidi" w:eastAsia="Times New Roman" w:hAnsiTheme="minorBidi"/>
          <w:b/>
          <w:bCs/>
          <w:color w:val="000000"/>
          <w:sz w:val="20"/>
          <w:szCs w:val="20"/>
          <w:lang w:eastAsia="en-GB"/>
        </w:rPr>
        <w:t xml:space="preserve">and </w:t>
      </w:r>
      <w:r w:rsidR="002D0580" w:rsidRPr="00912F89">
        <w:rPr>
          <w:rFonts w:asciiTheme="minorBidi" w:eastAsia="Times New Roman" w:hAnsiTheme="minorBidi"/>
          <w:b/>
          <w:bCs/>
          <w:color w:val="000000"/>
          <w:sz w:val="20"/>
          <w:szCs w:val="20"/>
          <w:lang w:eastAsia="en-GB"/>
        </w:rPr>
        <w:t>Notice of General Meeting</w:t>
      </w:r>
    </w:p>
    <w:p w14:paraId="4C2C0E81" w14:textId="77777777" w:rsidR="00BB556D" w:rsidRPr="00912F89" w:rsidRDefault="00BB556D" w:rsidP="00BB556D">
      <w:pPr>
        <w:spacing w:after="0" w:line="300" w:lineRule="atLeast"/>
        <w:jc w:val="center"/>
        <w:rPr>
          <w:rFonts w:asciiTheme="minorBidi" w:eastAsia="Times New Roman" w:hAnsiTheme="minorBidi"/>
          <w:b/>
          <w:bCs/>
          <w:color w:val="000000"/>
          <w:sz w:val="20"/>
          <w:szCs w:val="20"/>
          <w:lang w:eastAsia="en-GB"/>
        </w:rPr>
      </w:pPr>
    </w:p>
    <w:p w14:paraId="24C16029" w14:textId="6A098158" w:rsidR="009A3900" w:rsidRPr="009A3900" w:rsidRDefault="08409C14" w:rsidP="08409C14">
      <w:pPr>
        <w:spacing w:after="180" w:line="300" w:lineRule="atLeast"/>
        <w:jc w:val="both"/>
        <w:rPr>
          <w:rFonts w:asciiTheme="minorBidi" w:hAnsiTheme="minorBidi"/>
          <w:sz w:val="20"/>
          <w:szCs w:val="20"/>
        </w:rPr>
      </w:pPr>
      <w:r w:rsidRPr="08409C14">
        <w:rPr>
          <w:rFonts w:asciiTheme="minorBidi" w:hAnsiTheme="minorBidi"/>
          <w:sz w:val="20"/>
          <w:szCs w:val="20"/>
        </w:rPr>
        <w:t>Eight Capital Partners plc (AQSE: ECP), the financial services operating company that aims to grow revenue through businesses engaged in “Fintech” operations, from the digitisation of banking services, through to blockchain-backed disruptive finance companies, announces that it has today posted to its Shareholders a circular (the “</w:t>
      </w:r>
      <w:r w:rsidRPr="00654EFD">
        <w:rPr>
          <w:rFonts w:asciiTheme="minorBidi" w:hAnsiTheme="minorBidi"/>
          <w:b/>
          <w:bCs/>
          <w:sz w:val="20"/>
          <w:szCs w:val="20"/>
        </w:rPr>
        <w:t>Circular</w:t>
      </w:r>
      <w:r w:rsidRPr="08409C14">
        <w:rPr>
          <w:rFonts w:asciiTheme="minorBidi" w:hAnsiTheme="minorBidi"/>
          <w:sz w:val="20"/>
          <w:szCs w:val="20"/>
        </w:rPr>
        <w:t xml:space="preserve">” or </w:t>
      </w:r>
      <w:r w:rsidR="00654EFD">
        <w:rPr>
          <w:rFonts w:asciiTheme="minorBidi" w:hAnsiTheme="minorBidi"/>
          <w:sz w:val="20"/>
          <w:szCs w:val="20"/>
        </w:rPr>
        <w:t>“</w:t>
      </w:r>
      <w:r w:rsidRPr="00654EFD">
        <w:rPr>
          <w:rFonts w:asciiTheme="minorBidi" w:hAnsiTheme="minorBidi"/>
          <w:b/>
          <w:bCs/>
          <w:sz w:val="20"/>
          <w:szCs w:val="20"/>
        </w:rPr>
        <w:t>Document</w:t>
      </w:r>
      <w:r w:rsidRPr="08409C14">
        <w:rPr>
          <w:rFonts w:asciiTheme="minorBidi" w:hAnsiTheme="minorBidi"/>
          <w:sz w:val="20"/>
          <w:szCs w:val="20"/>
        </w:rPr>
        <w:t>”) convening a General Meeting (“</w:t>
      </w:r>
      <w:r w:rsidRPr="00BA71A5">
        <w:rPr>
          <w:rFonts w:asciiTheme="minorBidi" w:hAnsiTheme="minorBidi"/>
          <w:b/>
          <w:bCs/>
          <w:sz w:val="20"/>
          <w:szCs w:val="20"/>
        </w:rPr>
        <w:t>GM</w:t>
      </w:r>
      <w:r w:rsidRPr="08409C14">
        <w:rPr>
          <w:rFonts w:asciiTheme="minorBidi" w:hAnsiTheme="minorBidi"/>
          <w:sz w:val="20"/>
          <w:szCs w:val="20"/>
        </w:rPr>
        <w:t xml:space="preserve">”) of the Company to be held at 11 a.m. on </w:t>
      </w:r>
      <w:r w:rsidR="00A753C3">
        <w:rPr>
          <w:rFonts w:asciiTheme="minorBidi" w:hAnsiTheme="minorBidi"/>
          <w:sz w:val="20"/>
          <w:szCs w:val="20"/>
        </w:rPr>
        <w:t>21</w:t>
      </w:r>
      <w:r w:rsidRPr="08409C14">
        <w:rPr>
          <w:rFonts w:asciiTheme="minorBidi" w:hAnsiTheme="minorBidi"/>
          <w:sz w:val="20"/>
          <w:szCs w:val="20"/>
        </w:rPr>
        <w:t xml:space="preserve"> July 2022 at 50 Sloane Avenue, London SW3 3DD to seek Independent Shareholder approval of a waiver of obligations under Rule 9 of the City Code on Takeovers and Mergers for the conversion of €</w:t>
      </w:r>
      <w:r w:rsidR="00A753C3">
        <w:rPr>
          <w:rFonts w:asciiTheme="minorBidi" w:hAnsiTheme="minorBidi"/>
          <w:sz w:val="20"/>
          <w:szCs w:val="20"/>
        </w:rPr>
        <w:t>17</w:t>
      </w:r>
      <w:r w:rsidRPr="08409C14">
        <w:rPr>
          <w:rFonts w:asciiTheme="minorBidi" w:hAnsiTheme="minorBidi"/>
          <w:sz w:val="20"/>
          <w:szCs w:val="20"/>
        </w:rPr>
        <w:t xml:space="preserve"> million of </w:t>
      </w:r>
      <w:r w:rsidR="00A753C3">
        <w:rPr>
          <w:rFonts w:asciiTheme="minorBidi" w:hAnsiTheme="minorBidi"/>
          <w:sz w:val="20"/>
          <w:szCs w:val="20"/>
        </w:rPr>
        <w:t>a</w:t>
      </w:r>
      <w:r w:rsidRPr="08409C14">
        <w:rPr>
          <w:rFonts w:asciiTheme="minorBidi" w:hAnsiTheme="minorBidi"/>
          <w:sz w:val="20"/>
          <w:szCs w:val="20"/>
        </w:rPr>
        <w:t xml:space="preserve"> vendor loan </w:t>
      </w:r>
      <w:r w:rsidR="00A753C3">
        <w:rPr>
          <w:rFonts w:asciiTheme="minorBidi" w:hAnsiTheme="minorBidi"/>
          <w:sz w:val="20"/>
          <w:szCs w:val="20"/>
        </w:rPr>
        <w:t xml:space="preserve">of €20 million owed to IWEP Limited (the </w:t>
      </w:r>
      <w:r w:rsidR="00631549">
        <w:rPr>
          <w:rFonts w:asciiTheme="minorBidi" w:hAnsiTheme="minorBidi"/>
          <w:sz w:val="20"/>
          <w:szCs w:val="20"/>
        </w:rPr>
        <w:t>“</w:t>
      </w:r>
      <w:r w:rsidR="00A753C3">
        <w:rPr>
          <w:rFonts w:asciiTheme="minorBidi" w:hAnsiTheme="minorBidi"/>
          <w:b/>
          <w:bCs/>
          <w:sz w:val="20"/>
          <w:szCs w:val="20"/>
        </w:rPr>
        <w:t>Investor</w:t>
      </w:r>
      <w:r w:rsidR="00631549">
        <w:rPr>
          <w:rFonts w:asciiTheme="minorBidi" w:hAnsiTheme="minorBidi"/>
          <w:b/>
          <w:bCs/>
          <w:sz w:val="20"/>
          <w:szCs w:val="20"/>
        </w:rPr>
        <w:t>”</w:t>
      </w:r>
      <w:r w:rsidR="00A753C3">
        <w:rPr>
          <w:rFonts w:asciiTheme="minorBidi" w:hAnsiTheme="minorBidi"/>
          <w:sz w:val="20"/>
          <w:szCs w:val="20"/>
        </w:rPr>
        <w:t xml:space="preserve">), and €800,000 of its listed Vienna Bonds held by the Investor </w:t>
      </w:r>
      <w:r w:rsidRPr="08409C14">
        <w:rPr>
          <w:rFonts w:asciiTheme="minorBidi" w:hAnsiTheme="minorBidi"/>
          <w:sz w:val="20"/>
          <w:szCs w:val="20"/>
        </w:rPr>
        <w:t>into equity in ECP.</w:t>
      </w:r>
      <w:r w:rsidR="00A753C3">
        <w:rPr>
          <w:rFonts w:asciiTheme="minorBidi" w:hAnsiTheme="minorBidi"/>
          <w:sz w:val="20"/>
          <w:szCs w:val="20"/>
        </w:rPr>
        <w:t xml:space="preserve"> (the “</w:t>
      </w:r>
      <w:r w:rsidR="00A753C3" w:rsidRPr="00A753C3">
        <w:rPr>
          <w:rFonts w:asciiTheme="minorBidi" w:hAnsiTheme="minorBidi"/>
          <w:b/>
          <w:bCs/>
          <w:sz w:val="20"/>
          <w:szCs w:val="20"/>
        </w:rPr>
        <w:t>Investment</w:t>
      </w:r>
      <w:r w:rsidR="00A753C3">
        <w:rPr>
          <w:rFonts w:asciiTheme="minorBidi" w:hAnsiTheme="minorBidi"/>
          <w:sz w:val="20"/>
          <w:szCs w:val="20"/>
        </w:rPr>
        <w:t>”)</w:t>
      </w:r>
      <w:r w:rsidR="009A3900">
        <w:rPr>
          <w:rFonts w:asciiTheme="minorBidi" w:hAnsiTheme="minorBidi"/>
          <w:sz w:val="20"/>
          <w:szCs w:val="20"/>
        </w:rPr>
        <w:t>.</w:t>
      </w:r>
      <w:r w:rsidR="005E58A7">
        <w:rPr>
          <w:rFonts w:asciiTheme="minorBidi" w:hAnsiTheme="minorBidi"/>
          <w:sz w:val="20"/>
          <w:szCs w:val="20"/>
        </w:rPr>
        <w:t xml:space="preserve"> In addition, </w:t>
      </w:r>
      <w:r w:rsidR="00F927AD" w:rsidRPr="00F927AD">
        <w:rPr>
          <w:rFonts w:asciiTheme="minorBidi" w:hAnsiTheme="minorBidi"/>
          <w:sz w:val="20"/>
          <w:szCs w:val="20"/>
        </w:rPr>
        <w:t xml:space="preserve">the Company has agreed that </w:t>
      </w:r>
      <w:r w:rsidR="002E372A" w:rsidRPr="002E372A">
        <w:rPr>
          <w:rFonts w:asciiTheme="minorBidi" w:hAnsiTheme="minorBidi"/>
          <w:sz w:val="20"/>
          <w:szCs w:val="20"/>
        </w:rPr>
        <w:t xml:space="preserve">Concreta Srl </w:t>
      </w:r>
      <w:r w:rsidR="002E372A">
        <w:rPr>
          <w:rFonts w:asciiTheme="minorBidi" w:hAnsiTheme="minorBidi"/>
          <w:sz w:val="20"/>
          <w:szCs w:val="20"/>
        </w:rPr>
        <w:t xml:space="preserve">and </w:t>
      </w:r>
      <w:r w:rsidR="00F67861" w:rsidRPr="00F67861">
        <w:rPr>
          <w:rFonts w:asciiTheme="minorBidi" w:hAnsiTheme="minorBidi"/>
          <w:sz w:val="20"/>
          <w:szCs w:val="20"/>
        </w:rPr>
        <w:t xml:space="preserve">DL Ced S.r.l </w:t>
      </w:r>
      <w:r w:rsidR="00F927AD" w:rsidRPr="00F927AD">
        <w:rPr>
          <w:rFonts w:asciiTheme="minorBidi" w:hAnsiTheme="minorBidi"/>
          <w:sz w:val="20"/>
          <w:szCs w:val="20"/>
        </w:rPr>
        <w:t>can, on the same terms, convert</w:t>
      </w:r>
      <w:r w:rsidR="00F46190">
        <w:rPr>
          <w:rFonts w:asciiTheme="minorBidi" w:hAnsiTheme="minorBidi"/>
          <w:sz w:val="20"/>
          <w:szCs w:val="20"/>
        </w:rPr>
        <w:t xml:space="preserve"> </w:t>
      </w:r>
      <w:r w:rsidR="00C57F0E">
        <w:rPr>
          <w:rFonts w:asciiTheme="minorBidi" w:hAnsiTheme="minorBidi"/>
          <w:sz w:val="20"/>
          <w:szCs w:val="20"/>
        </w:rPr>
        <w:t xml:space="preserve">in aggregate </w:t>
      </w:r>
      <w:r w:rsidR="00F46190">
        <w:rPr>
          <w:rFonts w:asciiTheme="minorBidi" w:hAnsiTheme="minorBidi"/>
          <w:sz w:val="20"/>
          <w:szCs w:val="20"/>
        </w:rPr>
        <w:t>€1</w:t>
      </w:r>
      <w:r w:rsidR="00F67861">
        <w:rPr>
          <w:rFonts w:asciiTheme="minorBidi" w:hAnsiTheme="minorBidi"/>
          <w:sz w:val="20"/>
          <w:szCs w:val="20"/>
        </w:rPr>
        <w:t>.</w:t>
      </w:r>
      <w:r w:rsidR="00F46190">
        <w:rPr>
          <w:rFonts w:asciiTheme="minorBidi" w:hAnsiTheme="minorBidi"/>
          <w:sz w:val="20"/>
          <w:szCs w:val="20"/>
        </w:rPr>
        <w:t>7 million of</w:t>
      </w:r>
      <w:r w:rsidR="00F927AD" w:rsidRPr="00F927AD">
        <w:rPr>
          <w:rFonts w:asciiTheme="minorBidi" w:hAnsiTheme="minorBidi"/>
          <w:sz w:val="20"/>
          <w:szCs w:val="20"/>
        </w:rPr>
        <w:t xml:space="preserve"> existing debt </w:t>
      </w:r>
      <w:r w:rsidR="00C57F0E">
        <w:rPr>
          <w:rFonts w:asciiTheme="minorBidi" w:hAnsiTheme="minorBidi"/>
          <w:sz w:val="20"/>
          <w:szCs w:val="20"/>
        </w:rPr>
        <w:t xml:space="preserve">held by them </w:t>
      </w:r>
      <w:r w:rsidR="00F927AD" w:rsidRPr="00F927AD">
        <w:rPr>
          <w:rFonts w:asciiTheme="minorBidi" w:hAnsiTheme="minorBidi"/>
          <w:sz w:val="20"/>
          <w:szCs w:val="20"/>
        </w:rPr>
        <w:t>into equity</w:t>
      </w:r>
      <w:r w:rsidR="009D4073">
        <w:rPr>
          <w:rFonts w:asciiTheme="minorBidi" w:hAnsiTheme="minorBidi"/>
          <w:sz w:val="20"/>
          <w:szCs w:val="20"/>
        </w:rPr>
        <w:t xml:space="preserve"> (the “</w:t>
      </w:r>
      <w:r w:rsidR="009D4073" w:rsidRPr="003520A4">
        <w:rPr>
          <w:rFonts w:asciiTheme="minorBidi" w:hAnsiTheme="minorBidi"/>
          <w:b/>
          <w:bCs/>
          <w:sz w:val="20"/>
          <w:szCs w:val="20"/>
        </w:rPr>
        <w:t>Conversions</w:t>
      </w:r>
      <w:r w:rsidR="009D4073">
        <w:rPr>
          <w:rFonts w:asciiTheme="minorBidi" w:hAnsiTheme="minorBidi"/>
          <w:sz w:val="20"/>
          <w:szCs w:val="20"/>
        </w:rPr>
        <w:t>”)</w:t>
      </w:r>
      <w:r w:rsidR="00F927AD" w:rsidRPr="00F927AD">
        <w:rPr>
          <w:rFonts w:asciiTheme="minorBidi" w:hAnsiTheme="minorBidi"/>
          <w:sz w:val="20"/>
          <w:szCs w:val="20"/>
        </w:rPr>
        <w:t>.</w:t>
      </w:r>
      <w:r w:rsidR="00F927AD" w:rsidRPr="00F927AD" w:rsidDel="005E58A7">
        <w:rPr>
          <w:rFonts w:asciiTheme="minorBidi" w:hAnsiTheme="minorBidi"/>
          <w:sz w:val="20"/>
          <w:szCs w:val="20"/>
        </w:rPr>
        <w:t xml:space="preserve"> </w:t>
      </w:r>
    </w:p>
    <w:p w14:paraId="23AAC06F" w14:textId="19582953" w:rsidR="00337518" w:rsidRDefault="00337518" w:rsidP="00DD780C">
      <w:pPr>
        <w:spacing w:after="180" w:line="300" w:lineRule="atLeast"/>
        <w:jc w:val="both"/>
        <w:rPr>
          <w:rFonts w:asciiTheme="minorBidi" w:hAnsiTheme="minorBidi"/>
          <w:sz w:val="20"/>
          <w:szCs w:val="20"/>
        </w:rPr>
      </w:pPr>
      <w:r>
        <w:rPr>
          <w:rFonts w:asciiTheme="minorBidi" w:hAnsiTheme="minorBidi"/>
          <w:sz w:val="20"/>
          <w:szCs w:val="20"/>
        </w:rPr>
        <w:t xml:space="preserve">This forms an important step in the Company’s previously announced </w:t>
      </w:r>
      <w:r w:rsidR="003A6C9D">
        <w:rPr>
          <w:rFonts w:asciiTheme="minorBidi" w:hAnsiTheme="minorBidi"/>
          <w:sz w:val="20"/>
          <w:szCs w:val="20"/>
        </w:rPr>
        <w:t xml:space="preserve">strategy </w:t>
      </w:r>
      <w:r>
        <w:rPr>
          <w:rFonts w:asciiTheme="minorBidi" w:hAnsiTheme="minorBidi"/>
          <w:sz w:val="20"/>
          <w:szCs w:val="20"/>
        </w:rPr>
        <w:t xml:space="preserve">to </w:t>
      </w:r>
      <w:r w:rsidR="003351B2" w:rsidRPr="003351B2">
        <w:rPr>
          <w:rFonts w:asciiTheme="minorBidi" w:hAnsiTheme="minorBidi"/>
          <w:sz w:val="20"/>
          <w:szCs w:val="20"/>
        </w:rPr>
        <w:t>grow the market capitalisation of the Company towards and beyond £50 million</w:t>
      </w:r>
      <w:r w:rsidR="003351B2">
        <w:rPr>
          <w:rFonts w:asciiTheme="minorBidi" w:hAnsiTheme="minorBidi"/>
          <w:sz w:val="20"/>
          <w:szCs w:val="20"/>
        </w:rPr>
        <w:t xml:space="preserve">. </w:t>
      </w:r>
      <w:r w:rsidR="007464FC" w:rsidRPr="003520A4">
        <w:rPr>
          <w:rFonts w:asciiTheme="minorBidi" w:hAnsiTheme="minorBidi"/>
          <w:sz w:val="20"/>
          <w:szCs w:val="20"/>
        </w:rPr>
        <w:t xml:space="preserve">The Company has </w:t>
      </w:r>
      <w:r w:rsidR="007464FC">
        <w:rPr>
          <w:rFonts w:asciiTheme="minorBidi" w:hAnsiTheme="minorBidi"/>
          <w:sz w:val="20"/>
          <w:szCs w:val="20"/>
        </w:rPr>
        <w:t xml:space="preserve">also </w:t>
      </w:r>
      <w:r w:rsidR="007464FC" w:rsidRPr="003520A4">
        <w:rPr>
          <w:rFonts w:asciiTheme="minorBidi" w:hAnsiTheme="minorBidi"/>
          <w:sz w:val="20"/>
          <w:szCs w:val="20"/>
        </w:rPr>
        <w:t>previously stated that it may seek to undertake an equity fundraise to existing and new investors</w:t>
      </w:r>
      <w:r w:rsidR="00CB66F4">
        <w:rPr>
          <w:rFonts w:asciiTheme="minorBidi" w:hAnsiTheme="minorBidi"/>
          <w:sz w:val="20"/>
          <w:szCs w:val="20"/>
        </w:rPr>
        <w:t xml:space="preserve"> following the Investment and Conversions alongside additional</w:t>
      </w:r>
      <w:r w:rsidR="002A0A04">
        <w:rPr>
          <w:rFonts w:asciiTheme="minorBidi" w:hAnsiTheme="minorBidi"/>
          <w:sz w:val="20"/>
          <w:szCs w:val="20"/>
        </w:rPr>
        <w:t xml:space="preserve"> debt to equity conversions.  </w:t>
      </w:r>
    </w:p>
    <w:p w14:paraId="381CC9E3" w14:textId="77777777" w:rsidR="00337518" w:rsidRDefault="00337518" w:rsidP="00DD780C">
      <w:pPr>
        <w:spacing w:after="180" w:line="300" w:lineRule="atLeast"/>
        <w:jc w:val="both"/>
        <w:rPr>
          <w:rFonts w:asciiTheme="minorBidi" w:hAnsiTheme="minorBidi"/>
          <w:sz w:val="20"/>
          <w:szCs w:val="20"/>
        </w:rPr>
      </w:pPr>
    </w:p>
    <w:p w14:paraId="0D1D459D" w14:textId="588C6CC9" w:rsidR="00F60D7B" w:rsidRDefault="00F60D7B" w:rsidP="00DD780C">
      <w:pPr>
        <w:spacing w:after="180" w:line="300" w:lineRule="atLeast"/>
        <w:jc w:val="both"/>
        <w:rPr>
          <w:rFonts w:asciiTheme="minorBidi" w:hAnsiTheme="minorBidi"/>
          <w:sz w:val="20"/>
          <w:szCs w:val="20"/>
        </w:rPr>
      </w:pPr>
      <w:r w:rsidRPr="00216198">
        <w:rPr>
          <w:rFonts w:asciiTheme="minorBidi" w:hAnsiTheme="minorBidi"/>
          <w:sz w:val="20"/>
          <w:szCs w:val="20"/>
        </w:rPr>
        <w:t xml:space="preserve">A copy of the Circular is available on the Company's website: </w:t>
      </w:r>
      <w:r w:rsidR="00A42BE5" w:rsidRPr="00A42BE5">
        <w:rPr>
          <w:rFonts w:asciiTheme="minorBidi" w:hAnsiTheme="minorBidi"/>
          <w:sz w:val="20"/>
          <w:szCs w:val="20"/>
        </w:rPr>
        <w:t>https://www.eight.capital/investors/publications/</w:t>
      </w:r>
      <w:r w:rsidR="00746462">
        <w:rPr>
          <w:rFonts w:asciiTheme="minorBidi" w:hAnsiTheme="minorBidi"/>
          <w:sz w:val="20"/>
          <w:szCs w:val="20"/>
        </w:rPr>
        <w:t>.</w:t>
      </w:r>
      <w:r w:rsidR="00A42BE5" w:rsidRPr="00A42BE5" w:rsidDel="00A42BE5">
        <w:rPr>
          <w:rFonts w:asciiTheme="minorBidi" w:hAnsiTheme="minorBidi"/>
          <w:sz w:val="20"/>
          <w:szCs w:val="20"/>
        </w:rPr>
        <w:t xml:space="preserve"> </w:t>
      </w:r>
    </w:p>
    <w:p w14:paraId="095B780F" w14:textId="0ECF6795" w:rsidR="00A42BE5" w:rsidRPr="003520A4" w:rsidRDefault="004B5BF8" w:rsidP="00DD780C">
      <w:pPr>
        <w:spacing w:after="180" w:line="300" w:lineRule="atLeast"/>
        <w:jc w:val="both"/>
        <w:rPr>
          <w:rFonts w:asciiTheme="minorBidi" w:hAnsiTheme="minorBidi"/>
          <w:sz w:val="20"/>
          <w:szCs w:val="20"/>
        </w:rPr>
      </w:pPr>
      <w:r>
        <w:rPr>
          <w:rFonts w:asciiTheme="minorBidi" w:hAnsiTheme="minorBidi"/>
          <w:sz w:val="20"/>
          <w:szCs w:val="20"/>
        </w:rPr>
        <w:t>The Independent Directors</w:t>
      </w:r>
      <w:r w:rsidRPr="003520A4">
        <w:rPr>
          <w:rFonts w:asciiTheme="minorBidi" w:hAnsiTheme="minorBidi"/>
          <w:sz w:val="20"/>
          <w:szCs w:val="20"/>
        </w:rPr>
        <w:t xml:space="preserve"> urge </w:t>
      </w:r>
      <w:r w:rsidR="00285D4F">
        <w:rPr>
          <w:rFonts w:asciiTheme="minorBidi" w:hAnsiTheme="minorBidi"/>
          <w:sz w:val="20"/>
          <w:szCs w:val="20"/>
        </w:rPr>
        <w:t>S</w:t>
      </w:r>
      <w:r w:rsidRPr="003520A4">
        <w:rPr>
          <w:rFonts w:asciiTheme="minorBidi" w:hAnsiTheme="minorBidi"/>
          <w:sz w:val="20"/>
          <w:szCs w:val="20"/>
        </w:rPr>
        <w:t xml:space="preserve">hareholders to </w:t>
      </w:r>
      <w:r w:rsidR="00A77BB5">
        <w:rPr>
          <w:rFonts w:asciiTheme="minorBidi" w:hAnsiTheme="minorBidi"/>
          <w:sz w:val="20"/>
          <w:szCs w:val="20"/>
        </w:rPr>
        <w:t xml:space="preserve">read </w:t>
      </w:r>
      <w:r w:rsidRPr="003520A4">
        <w:rPr>
          <w:rFonts w:asciiTheme="minorBidi" w:hAnsiTheme="minorBidi"/>
          <w:sz w:val="20"/>
          <w:szCs w:val="20"/>
        </w:rPr>
        <w:t xml:space="preserve">the </w:t>
      </w:r>
      <w:r w:rsidR="00285D4F">
        <w:rPr>
          <w:rFonts w:asciiTheme="minorBidi" w:hAnsiTheme="minorBidi"/>
          <w:sz w:val="20"/>
          <w:szCs w:val="20"/>
        </w:rPr>
        <w:t>Circular</w:t>
      </w:r>
      <w:r w:rsidRPr="003520A4">
        <w:rPr>
          <w:rFonts w:asciiTheme="minorBidi" w:hAnsiTheme="minorBidi"/>
          <w:sz w:val="20"/>
          <w:szCs w:val="20"/>
        </w:rPr>
        <w:t xml:space="preserve"> carefully when it becomes available because it will contain important information in relation to the </w:t>
      </w:r>
      <w:r w:rsidR="00A77BB5">
        <w:rPr>
          <w:rFonts w:asciiTheme="minorBidi" w:hAnsiTheme="minorBidi"/>
          <w:sz w:val="20"/>
          <w:szCs w:val="20"/>
        </w:rPr>
        <w:t xml:space="preserve">Investment, </w:t>
      </w:r>
      <w:r w:rsidR="002548FA">
        <w:rPr>
          <w:rFonts w:asciiTheme="minorBidi" w:hAnsiTheme="minorBidi"/>
          <w:sz w:val="20"/>
          <w:szCs w:val="20"/>
        </w:rPr>
        <w:t>the Investor Warrant and the Conversions</w:t>
      </w:r>
      <w:r w:rsidRPr="003520A4">
        <w:rPr>
          <w:rFonts w:asciiTheme="minorBidi" w:hAnsiTheme="minorBidi"/>
          <w:sz w:val="20"/>
          <w:szCs w:val="20"/>
        </w:rPr>
        <w:t xml:space="preserve">, and to take appropriate advice. Any vote in respect of </w:t>
      </w:r>
      <w:r w:rsidR="003D60ED">
        <w:rPr>
          <w:rFonts w:asciiTheme="minorBidi" w:hAnsiTheme="minorBidi"/>
          <w:sz w:val="20"/>
          <w:szCs w:val="20"/>
        </w:rPr>
        <w:t>R</w:t>
      </w:r>
      <w:r w:rsidRPr="003520A4">
        <w:rPr>
          <w:rFonts w:asciiTheme="minorBidi" w:hAnsiTheme="minorBidi"/>
          <w:sz w:val="20"/>
          <w:szCs w:val="20"/>
        </w:rPr>
        <w:t xml:space="preserve">esolutions should be made only on the basis of the information contained in the </w:t>
      </w:r>
      <w:r w:rsidR="003D60ED">
        <w:rPr>
          <w:rFonts w:asciiTheme="minorBidi" w:hAnsiTheme="minorBidi"/>
          <w:sz w:val="20"/>
          <w:szCs w:val="20"/>
        </w:rPr>
        <w:t>Circular</w:t>
      </w:r>
      <w:r w:rsidRPr="003520A4">
        <w:rPr>
          <w:rFonts w:asciiTheme="minorBidi" w:hAnsiTheme="minorBidi"/>
          <w:sz w:val="20"/>
          <w:szCs w:val="20"/>
        </w:rPr>
        <w:t>.</w:t>
      </w:r>
    </w:p>
    <w:p w14:paraId="5CE83B25" w14:textId="7A070146" w:rsidR="00F60D7B" w:rsidRDefault="00F60D7B" w:rsidP="00467B3F">
      <w:pPr>
        <w:spacing w:after="180" w:line="300" w:lineRule="atLeast"/>
        <w:jc w:val="both"/>
        <w:rPr>
          <w:rFonts w:asciiTheme="minorBidi" w:hAnsiTheme="minorBidi"/>
          <w:sz w:val="20"/>
          <w:szCs w:val="20"/>
        </w:rPr>
      </w:pPr>
      <w:r w:rsidRPr="00216198">
        <w:rPr>
          <w:rFonts w:asciiTheme="minorBidi" w:hAnsiTheme="minorBidi"/>
          <w:sz w:val="20"/>
          <w:szCs w:val="20"/>
        </w:rPr>
        <w:t>Capitalised and defined terms used in this announcement have the meanings given to them in the Circular.</w:t>
      </w:r>
    </w:p>
    <w:p w14:paraId="7AFE2102" w14:textId="77777777" w:rsidR="00876139" w:rsidRPr="00216198" w:rsidRDefault="00876139" w:rsidP="00876139">
      <w:pPr>
        <w:spacing w:after="180" w:line="300" w:lineRule="atLeast"/>
        <w:jc w:val="both"/>
        <w:rPr>
          <w:rFonts w:asciiTheme="minorBidi" w:hAnsiTheme="minorBidi"/>
          <w:b/>
          <w:bCs/>
          <w:sz w:val="20"/>
          <w:szCs w:val="20"/>
        </w:rPr>
      </w:pPr>
      <w:r w:rsidRPr="00216198">
        <w:rPr>
          <w:rFonts w:asciiTheme="minorBidi" w:hAnsiTheme="minorBidi"/>
          <w:b/>
          <w:bCs/>
          <w:sz w:val="20"/>
          <w:szCs w:val="20"/>
        </w:rPr>
        <w:t xml:space="preserve">Important Information on </w:t>
      </w:r>
      <w:r>
        <w:rPr>
          <w:rFonts w:asciiTheme="minorBidi" w:hAnsiTheme="minorBidi"/>
          <w:b/>
          <w:bCs/>
          <w:sz w:val="20"/>
          <w:szCs w:val="20"/>
        </w:rPr>
        <w:t xml:space="preserve">the </w:t>
      </w:r>
      <w:r w:rsidRPr="00216198">
        <w:rPr>
          <w:rFonts w:asciiTheme="minorBidi" w:hAnsiTheme="minorBidi"/>
          <w:b/>
          <w:bCs/>
          <w:sz w:val="20"/>
          <w:szCs w:val="20"/>
        </w:rPr>
        <w:t>Rule 9 Waiver</w:t>
      </w:r>
    </w:p>
    <w:p w14:paraId="024534E1" w14:textId="3859B4E9" w:rsidR="00876139" w:rsidRPr="00216198" w:rsidRDefault="00A753C3" w:rsidP="00876139">
      <w:pPr>
        <w:spacing w:line="276" w:lineRule="auto"/>
        <w:jc w:val="both"/>
        <w:rPr>
          <w:rFonts w:asciiTheme="minorBidi" w:hAnsiTheme="minorBidi"/>
          <w:sz w:val="20"/>
          <w:szCs w:val="20"/>
        </w:rPr>
      </w:pPr>
      <w:r>
        <w:rPr>
          <w:rFonts w:asciiTheme="minorBidi" w:hAnsiTheme="minorBidi"/>
          <w:sz w:val="20"/>
          <w:szCs w:val="20"/>
        </w:rPr>
        <w:t>The Investor</w:t>
      </w:r>
      <w:r w:rsidR="00876139" w:rsidRPr="00216198">
        <w:rPr>
          <w:rFonts w:asciiTheme="minorBidi" w:hAnsiTheme="minorBidi"/>
          <w:sz w:val="20"/>
          <w:szCs w:val="20"/>
        </w:rPr>
        <w:t xml:space="preserve"> currently holds 467,669,173 Existing Ordinary Shares. Immediately following the Investment, the Investor will hold in aggregate 51,179,919,885 Ordinary Shares, representing approximately 89.57 per cent. of the Enlarged Ordinary Share Capital.  The Investment for New Ordinary </w:t>
      </w:r>
      <w:r w:rsidR="00876139" w:rsidRPr="00216198">
        <w:rPr>
          <w:rFonts w:asciiTheme="minorBidi" w:hAnsiTheme="minorBidi"/>
          <w:sz w:val="20"/>
          <w:szCs w:val="20"/>
        </w:rPr>
        <w:lastRenderedPageBreak/>
        <w:t>Shares would, without the Waiver, oblige the Investor to make a general offer to Shareholders under Rule 9 of the Takeover Code.</w:t>
      </w:r>
    </w:p>
    <w:p w14:paraId="340A45A0" w14:textId="647E2F3A" w:rsidR="00876139" w:rsidRPr="00216198" w:rsidRDefault="00876139" w:rsidP="00876139">
      <w:pPr>
        <w:spacing w:line="276" w:lineRule="auto"/>
        <w:jc w:val="both"/>
        <w:rPr>
          <w:rFonts w:asciiTheme="minorBidi" w:hAnsiTheme="minorBidi"/>
          <w:sz w:val="20"/>
          <w:szCs w:val="20"/>
        </w:rPr>
      </w:pPr>
      <w:r w:rsidRPr="00216198">
        <w:rPr>
          <w:rFonts w:asciiTheme="minorBidi" w:hAnsiTheme="minorBidi"/>
          <w:sz w:val="20"/>
          <w:szCs w:val="20"/>
        </w:rPr>
        <w:t xml:space="preserve">Additionally, following the passing of the resolutions at the Vienna Bonds bondholder meeting on 23 June and as outlined in Section 7 </w:t>
      </w:r>
      <w:r w:rsidR="00631549">
        <w:rPr>
          <w:rFonts w:asciiTheme="minorBidi" w:hAnsiTheme="minorBidi"/>
          <w:sz w:val="20"/>
          <w:szCs w:val="20"/>
        </w:rPr>
        <w:t>in the circular</w:t>
      </w:r>
      <w:r w:rsidRPr="00216198">
        <w:rPr>
          <w:rFonts w:asciiTheme="minorBidi" w:hAnsiTheme="minorBidi"/>
          <w:sz w:val="20"/>
          <w:szCs w:val="20"/>
        </w:rPr>
        <w:t>, the Investor will be issued the Investor Warrants (being 1,367,521,368 Warrants). As a result, following the Investment and should the Investor Warrants be the only convertible instrument exercised and there be no other issues of Ordinary Shares, then the Investor would hold, in aggregate 52,547,441,253 Ordinary Shares, representing approximately 89.82 per cent. of the Further Enlarged Share Capital.</w:t>
      </w:r>
    </w:p>
    <w:p w14:paraId="091DD336" w14:textId="77777777" w:rsidR="00876139" w:rsidRPr="00216198" w:rsidRDefault="00876139" w:rsidP="00876139">
      <w:pPr>
        <w:spacing w:line="276" w:lineRule="auto"/>
        <w:jc w:val="both"/>
        <w:rPr>
          <w:rFonts w:asciiTheme="minorBidi" w:hAnsiTheme="minorBidi"/>
          <w:sz w:val="20"/>
          <w:szCs w:val="20"/>
        </w:rPr>
      </w:pPr>
      <w:r w:rsidRPr="00216198">
        <w:rPr>
          <w:rFonts w:asciiTheme="minorBidi" w:hAnsiTheme="minorBidi"/>
          <w:sz w:val="20"/>
          <w:szCs w:val="20"/>
        </w:rPr>
        <w:t>Whether or not the Rule 9 Waiver is approved, the Investor will not be restricted from making an offer for the Company.</w:t>
      </w:r>
    </w:p>
    <w:p w14:paraId="583C7F0E" w14:textId="77777777" w:rsidR="00876139" w:rsidRPr="00216198" w:rsidRDefault="00876139" w:rsidP="00876139">
      <w:pPr>
        <w:spacing w:line="276" w:lineRule="auto"/>
        <w:jc w:val="both"/>
        <w:rPr>
          <w:rFonts w:asciiTheme="minorBidi" w:hAnsiTheme="minorBidi"/>
          <w:sz w:val="20"/>
          <w:szCs w:val="20"/>
        </w:rPr>
      </w:pPr>
      <w:r w:rsidRPr="00216198">
        <w:rPr>
          <w:rFonts w:asciiTheme="minorBidi" w:hAnsiTheme="minorBidi"/>
          <w:sz w:val="20"/>
          <w:szCs w:val="20"/>
        </w:rPr>
        <w:t xml:space="preserve">The Investor’s shareholding in the Company following the Investment is set out in Part II of </w:t>
      </w:r>
      <w:r>
        <w:rPr>
          <w:rFonts w:asciiTheme="minorBidi" w:hAnsiTheme="minorBidi"/>
          <w:sz w:val="20"/>
          <w:szCs w:val="20"/>
        </w:rPr>
        <w:t>the</w:t>
      </w:r>
      <w:r w:rsidRPr="00216198">
        <w:rPr>
          <w:rFonts w:asciiTheme="minorBidi" w:hAnsiTheme="minorBidi"/>
          <w:sz w:val="20"/>
          <w:szCs w:val="20"/>
        </w:rPr>
        <w:t xml:space="preserve"> Document.</w:t>
      </w:r>
    </w:p>
    <w:p w14:paraId="23E31E05" w14:textId="77777777" w:rsidR="00876139" w:rsidRPr="00216198" w:rsidRDefault="00876139" w:rsidP="00876139">
      <w:pPr>
        <w:spacing w:line="276" w:lineRule="auto"/>
        <w:jc w:val="both"/>
        <w:rPr>
          <w:rFonts w:asciiTheme="minorBidi" w:hAnsiTheme="minorBidi"/>
          <w:sz w:val="20"/>
          <w:szCs w:val="20"/>
        </w:rPr>
      </w:pPr>
      <w:r w:rsidRPr="00216198">
        <w:rPr>
          <w:rFonts w:asciiTheme="minorBidi" w:hAnsiTheme="minorBidi"/>
          <w:sz w:val="20"/>
          <w:szCs w:val="20"/>
        </w:rPr>
        <w:t>The Company has applied to the Panel for the Waiver in order to permit the Investment and the exercise of the Investor Warrant without triggering an obligation on the part of the Investor to make a general offer to Shareholders.</w:t>
      </w:r>
    </w:p>
    <w:p w14:paraId="5B0368CD" w14:textId="77777777" w:rsidR="00876139" w:rsidRDefault="00876139" w:rsidP="00876139">
      <w:pPr>
        <w:spacing w:line="276" w:lineRule="auto"/>
        <w:jc w:val="both"/>
        <w:rPr>
          <w:rFonts w:asciiTheme="minorBidi" w:hAnsiTheme="minorBidi"/>
          <w:b/>
          <w:sz w:val="20"/>
          <w:szCs w:val="20"/>
        </w:rPr>
      </w:pPr>
      <w:r w:rsidRPr="00216198">
        <w:rPr>
          <w:rFonts w:asciiTheme="minorBidi" w:hAnsiTheme="minorBidi"/>
          <w:b/>
          <w:sz w:val="20"/>
          <w:szCs w:val="20"/>
        </w:rPr>
        <w:t>The Panel has agreed, subject to the Rule 9 Waiver Resolution being passed on a poll of Independent Shareholders, to waive the requirement which might otherwise arise as a result of the Investment and the exercise of the Investor Warrant, for the Investor to make a general offer to all Shareholders. Accordingly, Shareholders should be aware that, following completion of the Investment, the Investor will hold more than 50 per cent. of the Company’s voting share capital, and will be able to increase its holdings in the Company without incurring an obligation under Rule 9 to make a mandatory offer to the other Shareholders.</w:t>
      </w:r>
    </w:p>
    <w:p w14:paraId="42F35A33" w14:textId="1F5DCE1C" w:rsidR="0076181B" w:rsidRDefault="00C30094" w:rsidP="00C30094">
      <w:pPr>
        <w:spacing w:after="180" w:line="300" w:lineRule="atLeast"/>
        <w:jc w:val="both"/>
        <w:rPr>
          <w:rFonts w:asciiTheme="minorBidi" w:hAnsiTheme="minorBidi"/>
          <w:sz w:val="20"/>
          <w:szCs w:val="20"/>
        </w:rPr>
      </w:pPr>
      <w:r w:rsidRPr="00C30094">
        <w:rPr>
          <w:rFonts w:asciiTheme="minorBidi" w:hAnsiTheme="minorBidi"/>
          <w:sz w:val="20"/>
          <w:szCs w:val="20"/>
        </w:rPr>
        <w:t>Under the AQSE Growth Market Access Rulebook, IWEP is classified as a related party of the Company due to sharing a common director and shareholder, Dominic White and, therefore, the Investment constitutes  a related party transaction pursuant to Rule 4.6 of the AQSE Growth Market Access Rulebook.</w:t>
      </w:r>
    </w:p>
    <w:p w14:paraId="7D2CB708" w14:textId="77777777" w:rsidR="00E660DE" w:rsidRPr="003520A4" w:rsidRDefault="00E660DE" w:rsidP="003520A4">
      <w:pPr>
        <w:spacing w:after="180" w:line="300" w:lineRule="atLeast"/>
        <w:jc w:val="both"/>
        <w:rPr>
          <w:rFonts w:asciiTheme="minorBidi" w:hAnsiTheme="minorBidi"/>
        </w:rPr>
      </w:pPr>
    </w:p>
    <w:p w14:paraId="519B4E2B" w14:textId="29F1F93D" w:rsidR="00C668C2" w:rsidRPr="00216198" w:rsidRDefault="00C668C2" w:rsidP="00C668C2">
      <w:pPr>
        <w:pStyle w:val="BodyText"/>
        <w:widowControl/>
        <w:tabs>
          <w:tab w:val="left" w:pos="720"/>
        </w:tabs>
        <w:autoSpaceDE/>
        <w:autoSpaceDN/>
        <w:spacing w:before="120" w:line="276" w:lineRule="auto"/>
        <w:rPr>
          <w:rFonts w:asciiTheme="minorBidi" w:hAnsiTheme="minorBidi" w:cstheme="minorBidi"/>
          <w:b/>
          <w:lang w:val="en-GB"/>
        </w:rPr>
      </w:pPr>
      <w:r w:rsidRPr="00216198">
        <w:rPr>
          <w:rFonts w:asciiTheme="minorBidi" w:hAnsiTheme="minorBidi" w:cstheme="minorBidi"/>
          <w:b/>
          <w:lang w:val="en-GB"/>
        </w:rPr>
        <w:t>General Meeting</w:t>
      </w:r>
    </w:p>
    <w:p w14:paraId="4E12B6F7" w14:textId="77777777" w:rsidR="00C668C2" w:rsidRPr="00216198" w:rsidRDefault="00C668C2" w:rsidP="00C668C2">
      <w:pPr>
        <w:pStyle w:val="BodyText"/>
        <w:spacing w:before="120" w:line="276" w:lineRule="auto"/>
        <w:rPr>
          <w:rFonts w:asciiTheme="minorBidi" w:hAnsiTheme="minorBidi" w:cstheme="minorBidi"/>
          <w:lang w:val="en-GB"/>
        </w:rPr>
      </w:pPr>
      <w:r w:rsidRPr="00216198">
        <w:rPr>
          <w:rFonts w:asciiTheme="minorBidi" w:hAnsiTheme="minorBidi" w:cstheme="minorBidi"/>
          <w:lang w:val="en-GB"/>
        </w:rPr>
        <w:t>The Resolutions to be proposed at the General Meeting are (i) an ordinary resolution to approve the Rule 9 Waiver, which will be taken on a poll and in respect of which only Independent Shareholders will be entitled to vote and (ii) ordinary and special resolutions in relation to the issue of Ordinary Shares on a pre-emptive basis pursuant to the Conversions and the Investment.</w:t>
      </w:r>
    </w:p>
    <w:p w14:paraId="3F01F86C" w14:textId="77777777" w:rsidR="00C668C2" w:rsidRPr="00216198" w:rsidRDefault="00C668C2" w:rsidP="00C668C2">
      <w:pPr>
        <w:spacing w:before="120" w:line="276" w:lineRule="auto"/>
        <w:rPr>
          <w:rFonts w:asciiTheme="minorBidi" w:hAnsiTheme="minorBidi"/>
          <w:b/>
          <w:sz w:val="20"/>
          <w:szCs w:val="20"/>
        </w:rPr>
      </w:pPr>
    </w:p>
    <w:p w14:paraId="49A42724" w14:textId="77777777" w:rsidR="00C668C2" w:rsidRPr="00216198" w:rsidRDefault="00C668C2" w:rsidP="00C668C2">
      <w:pPr>
        <w:pStyle w:val="BodyText"/>
        <w:widowControl/>
        <w:tabs>
          <w:tab w:val="left" w:pos="720"/>
        </w:tabs>
        <w:autoSpaceDE/>
        <w:autoSpaceDN/>
        <w:spacing w:before="120" w:line="276" w:lineRule="auto"/>
        <w:rPr>
          <w:rFonts w:asciiTheme="minorBidi" w:hAnsiTheme="minorBidi" w:cstheme="minorBidi"/>
          <w:b/>
          <w:lang w:val="en-GB"/>
        </w:rPr>
      </w:pPr>
      <w:r w:rsidRPr="00216198">
        <w:rPr>
          <w:rFonts w:asciiTheme="minorBidi" w:hAnsiTheme="minorBidi" w:cstheme="minorBidi"/>
          <w:b/>
          <w:lang w:val="en-GB"/>
        </w:rPr>
        <w:t>Irrevocable undertakings</w:t>
      </w:r>
    </w:p>
    <w:p w14:paraId="397E7D19" w14:textId="77777777" w:rsidR="00C668C2" w:rsidRPr="00216198" w:rsidRDefault="00C668C2" w:rsidP="00C668C2">
      <w:pPr>
        <w:pStyle w:val="BodyText"/>
        <w:spacing w:before="120" w:line="276" w:lineRule="auto"/>
        <w:rPr>
          <w:rFonts w:asciiTheme="minorBidi" w:hAnsiTheme="minorBidi" w:cstheme="minorBidi"/>
          <w:lang w:val="en-GB"/>
        </w:rPr>
      </w:pPr>
      <w:r w:rsidRPr="00216198">
        <w:rPr>
          <w:rFonts w:asciiTheme="minorBidi" w:hAnsiTheme="minorBidi" w:cstheme="minorBidi"/>
          <w:lang w:val="en-GB"/>
        </w:rPr>
        <w:t xml:space="preserve">The Company has received irrevocable undertakings from certain Independent Shareholders to vote in favour of the Rule 9 Waiver Resolution at the General Meeting in respect of, in aggregate, 373,531,471 Existing Ordinary Shares representing approximately 34.06 per cent. of the Ordinary Shares held by Independent Shareholders entitled to vote on the Rule 9 Waiver Resolution.  </w:t>
      </w:r>
    </w:p>
    <w:p w14:paraId="44920CF0" w14:textId="77777777" w:rsidR="00C668C2" w:rsidRPr="00216198" w:rsidRDefault="00C668C2" w:rsidP="00C668C2">
      <w:pPr>
        <w:pStyle w:val="BodyText"/>
        <w:spacing w:before="120" w:line="276" w:lineRule="auto"/>
        <w:rPr>
          <w:rFonts w:asciiTheme="minorBidi" w:hAnsiTheme="minorBidi" w:cstheme="minorBidi"/>
          <w:lang w:val="en-GB"/>
        </w:rPr>
      </w:pPr>
      <w:r w:rsidRPr="003520A4">
        <w:rPr>
          <w:rFonts w:asciiTheme="minorBidi" w:hAnsiTheme="minorBidi" w:cstheme="minorBidi"/>
          <w:bCs/>
          <w:lang w:val="en-GB"/>
        </w:rPr>
        <w:t>IWEP, which has given an irrevocable undertaking in respect of Resolutions 2 and 3 is not able to vote on the Rule 9 Waiver Resolution.</w:t>
      </w:r>
    </w:p>
    <w:p w14:paraId="32071966" w14:textId="77777777" w:rsidR="00C668C2" w:rsidRPr="00216198" w:rsidRDefault="00C668C2" w:rsidP="00C668C2">
      <w:pPr>
        <w:pStyle w:val="BodyText"/>
        <w:spacing w:before="120" w:line="276" w:lineRule="auto"/>
        <w:rPr>
          <w:rFonts w:asciiTheme="minorBidi" w:hAnsiTheme="minorBidi" w:cstheme="minorBidi"/>
          <w:lang w:val="en-GB"/>
        </w:rPr>
      </w:pPr>
      <w:r w:rsidRPr="00216198">
        <w:rPr>
          <w:rFonts w:asciiTheme="minorBidi" w:hAnsiTheme="minorBidi" w:cstheme="minorBidi"/>
          <w:lang w:val="en-GB"/>
        </w:rPr>
        <w:t>As a result, the Company has received irrevocable undertakings from Shareholders in favour of Resolutions 2 and 3 at the General Meeting in respect of, in aggregate, 841,200,644 Existing Ordinary Shares representing approximately 53.77 per cent. of the Ordinary Shares in issue.</w:t>
      </w:r>
    </w:p>
    <w:p w14:paraId="55661919" w14:textId="0CD8237B" w:rsidR="00C668C2" w:rsidRPr="00216198" w:rsidRDefault="00C668C2" w:rsidP="00C668C2">
      <w:pPr>
        <w:pStyle w:val="BodyText"/>
        <w:spacing w:before="120" w:line="276" w:lineRule="auto"/>
        <w:rPr>
          <w:rFonts w:asciiTheme="minorBidi" w:hAnsiTheme="minorBidi" w:cstheme="minorBidi"/>
          <w:lang w:val="en-GB"/>
        </w:rPr>
      </w:pPr>
      <w:r w:rsidRPr="00216198">
        <w:rPr>
          <w:rFonts w:asciiTheme="minorBidi" w:hAnsiTheme="minorBidi" w:cstheme="minorBidi"/>
          <w:lang w:val="en-GB"/>
        </w:rPr>
        <w:t xml:space="preserve">Further details of the irrevocable undertakings are set out in </w:t>
      </w:r>
      <w:r>
        <w:rPr>
          <w:rFonts w:asciiTheme="minorBidi" w:hAnsiTheme="minorBidi" w:cstheme="minorBidi"/>
          <w:lang w:val="en-GB"/>
        </w:rPr>
        <w:t>the</w:t>
      </w:r>
      <w:r w:rsidRPr="00216198">
        <w:rPr>
          <w:rFonts w:asciiTheme="minorBidi" w:hAnsiTheme="minorBidi" w:cstheme="minorBidi"/>
          <w:lang w:val="en-GB"/>
        </w:rPr>
        <w:t xml:space="preserve"> Document</w:t>
      </w:r>
      <w:r w:rsidR="0076181B">
        <w:rPr>
          <w:rFonts w:asciiTheme="minorBidi" w:hAnsiTheme="minorBidi" w:cstheme="minorBidi"/>
          <w:lang w:val="en-GB"/>
        </w:rPr>
        <w:t>.</w:t>
      </w:r>
    </w:p>
    <w:p w14:paraId="48DDB304" w14:textId="77777777" w:rsidR="00C668C2" w:rsidRPr="00216198" w:rsidRDefault="00C668C2" w:rsidP="00C668C2">
      <w:pPr>
        <w:pStyle w:val="BodyText"/>
        <w:spacing w:before="120" w:line="276" w:lineRule="auto"/>
        <w:rPr>
          <w:rFonts w:asciiTheme="minorBidi" w:hAnsiTheme="minorBidi" w:cstheme="minorBidi"/>
          <w:bCs/>
          <w:lang w:val="en-GB"/>
        </w:rPr>
      </w:pPr>
    </w:p>
    <w:p w14:paraId="7C297F9C" w14:textId="77777777" w:rsidR="00C668C2" w:rsidRPr="00216198" w:rsidRDefault="00C668C2" w:rsidP="00C668C2">
      <w:pPr>
        <w:pStyle w:val="BodyText"/>
        <w:widowControl/>
        <w:tabs>
          <w:tab w:val="left" w:pos="720"/>
        </w:tabs>
        <w:autoSpaceDE/>
        <w:autoSpaceDN/>
        <w:spacing w:before="120" w:line="276" w:lineRule="auto"/>
        <w:rPr>
          <w:rFonts w:asciiTheme="minorBidi" w:hAnsiTheme="minorBidi" w:cstheme="minorBidi"/>
          <w:b/>
          <w:lang w:val="en-GB"/>
        </w:rPr>
      </w:pPr>
      <w:r w:rsidRPr="00216198">
        <w:rPr>
          <w:rFonts w:asciiTheme="minorBidi" w:hAnsiTheme="minorBidi" w:cstheme="minorBidi"/>
          <w:b/>
          <w:lang w:val="en-GB"/>
        </w:rPr>
        <w:t>Action to be taken</w:t>
      </w:r>
    </w:p>
    <w:p w14:paraId="5F1177BC" w14:textId="001C1513" w:rsidR="00C668C2" w:rsidRPr="00216198" w:rsidRDefault="00C668C2" w:rsidP="00C668C2">
      <w:pPr>
        <w:pStyle w:val="BodyText"/>
        <w:spacing w:before="120" w:line="276" w:lineRule="auto"/>
        <w:rPr>
          <w:rFonts w:asciiTheme="minorBidi" w:hAnsiTheme="minorBidi" w:cstheme="minorBidi"/>
          <w:lang w:val="en-GB"/>
        </w:rPr>
      </w:pPr>
      <w:r w:rsidRPr="00216198">
        <w:rPr>
          <w:rFonts w:asciiTheme="minorBidi" w:hAnsiTheme="minorBidi" w:cstheme="minorBidi"/>
          <w:lang w:val="en-GB"/>
        </w:rPr>
        <w:t>The Notice of General Meeting to be held at 11:00 a.m. on</w:t>
      </w:r>
      <w:r w:rsidR="009A3900">
        <w:rPr>
          <w:rFonts w:asciiTheme="minorBidi" w:hAnsiTheme="minorBidi" w:cstheme="minorBidi"/>
          <w:lang w:val="en-GB"/>
        </w:rPr>
        <w:t xml:space="preserve"> 21 July</w:t>
      </w:r>
      <w:r w:rsidR="002A6A94">
        <w:rPr>
          <w:rFonts w:asciiTheme="minorBidi" w:hAnsiTheme="minorBidi" w:cstheme="minorBidi"/>
          <w:lang w:val="en-GB"/>
        </w:rPr>
        <w:t xml:space="preserve"> </w:t>
      </w:r>
      <w:r w:rsidRPr="00216198">
        <w:rPr>
          <w:rFonts w:asciiTheme="minorBidi" w:hAnsiTheme="minorBidi" w:cstheme="minorBidi"/>
          <w:lang w:val="en-GB"/>
        </w:rPr>
        <w:t xml:space="preserve">2022, is set out at the end of </w:t>
      </w:r>
      <w:r w:rsidR="0076181B">
        <w:rPr>
          <w:rFonts w:asciiTheme="minorBidi" w:hAnsiTheme="minorBidi" w:cstheme="minorBidi"/>
          <w:lang w:val="en-GB"/>
        </w:rPr>
        <w:t>the</w:t>
      </w:r>
      <w:r w:rsidRPr="00216198">
        <w:rPr>
          <w:rFonts w:asciiTheme="minorBidi" w:hAnsiTheme="minorBidi" w:cstheme="minorBidi"/>
          <w:lang w:val="en-GB"/>
        </w:rPr>
        <w:t xml:space="preserve"> Document. A Form of Proxy for use by Shareholders in connection with the General Meeting is also enclosed with th</w:t>
      </w:r>
      <w:r w:rsidR="0076181B">
        <w:rPr>
          <w:rFonts w:asciiTheme="minorBidi" w:hAnsiTheme="minorBidi" w:cstheme="minorBidi"/>
          <w:lang w:val="en-GB"/>
        </w:rPr>
        <w:t>e</w:t>
      </w:r>
      <w:r w:rsidRPr="00216198">
        <w:rPr>
          <w:rFonts w:asciiTheme="minorBidi" w:hAnsiTheme="minorBidi" w:cstheme="minorBidi"/>
          <w:lang w:val="en-GB"/>
        </w:rPr>
        <w:t xml:space="preserve"> Document.</w:t>
      </w:r>
    </w:p>
    <w:p w14:paraId="3C2B4F13" w14:textId="50611780" w:rsidR="00C668C2" w:rsidRPr="00216198" w:rsidRDefault="00C668C2" w:rsidP="00C668C2">
      <w:pPr>
        <w:pStyle w:val="BodyText"/>
        <w:spacing w:before="120" w:line="276" w:lineRule="auto"/>
        <w:rPr>
          <w:rFonts w:asciiTheme="minorBidi" w:hAnsiTheme="minorBidi" w:cstheme="minorBidi"/>
          <w:lang w:val="en-GB"/>
        </w:rPr>
      </w:pPr>
      <w:r w:rsidRPr="00216198">
        <w:rPr>
          <w:rFonts w:asciiTheme="minorBidi" w:hAnsiTheme="minorBidi" w:cstheme="minorBidi"/>
          <w:lang w:val="en-GB"/>
        </w:rPr>
        <w:t xml:space="preserve">You are requested to complete the Form of Proxy in accordance with the instructions printed on it and to return it to the Company’s registrars, by post or by hand (during normal business hours only) to SLC Registrars, P.O. Box 5222, Lancing, BN99 9FG, United Kingdom, or by email to </w:t>
      </w:r>
      <w:hyperlink r:id="rId12" w:history="1">
        <w:r w:rsidRPr="00216198">
          <w:rPr>
            <w:rFonts w:asciiTheme="minorBidi" w:hAnsiTheme="minorBidi" w:cstheme="minorBidi"/>
            <w:lang w:val="en-GB"/>
          </w:rPr>
          <w:t>proxy@slcregistrars.com</w:t>
        </w:r>
      </w:hyperlink>
      <w:r w:rsidRPr="00216198">
        <w:rPr>
          <w:rFonts w:asciiTheme="minorBidi" w:hAnsiTheme="minorBidi" w:cstheme="minorBidi"/>
          <w:lang w:val="en-GB"/>
        </w:rPr>
        <w:t xml:space="preserve"> as soon as possible, and in any event so as to arrive no later than 11:00 a.m. on</w:t>
      </w:r>
      <w:r w:rsidR="009A3900">
        <w:rPr>
          <w:rFonts w:asciiTheme="minorBidi" w:hAnsiTheme="minorBidi" w:cstheme="minorBidi"/>
          <w:lang w:val="en-GB"/>
        </w:rPr>
        <w:t xml:space="preserve"> 19 July</w:t>
      </w:r>
      <w:r w:rsidR="002A6A94">
        <w:rPr>
          <w:rFonts w:asciiTheme="minorBidi" w:hAnsiTheme="minorBidi" w:cstheme="minorBidi"/>
          <w:lang w:val="en-GB"/>
        </w:rPr>
        <w:t xml:space="preserve"> </w:t>
      </w:r>
      <w:r w:rsidRPr="00216198">
        <w:rPr>
          <w:rFonts w:asciiTheme="minorBidi" w:hAnsiTheme="minorBidi" w:cstheme="minorBidi"/>
          <w:lang w:val="en-GB"/>
        </w:rPr>
        <w:t>2022.  Please note, emailed Forms of Proxy must be in either .jpg or .pdf format.</w:t>
      </w:r>
    </w:p>
    <w:p w14:paraId="64855555" w14:textId="77777777" w:rsidR="00C668C2" w:rsidRPr="00216198" w:rsidRDefault="00C668C2" w:rsidP="00C668C2">
      <w:pPr>
        <w:spacing w:before="120" w:line="276" w:lineRule="auto"/>
        <w:rPr>
          <w:rFonts w:asciiTheme="minorBidi" w:hAnsiTheme="minorBidi"/>
          <w:sz w:val="20"/>
          <w:szCs w:val="20"/>
        </w:rPr>
      </w:pPr>
    </w:p>
    <w:p w14:paraId="07341F01" w14:textId="77777777" w:rsidR="00C668C2" w:rsidRPr="00216198" w:rsidRDefault="00C668C2" w:rsidP="00C668C2">
      <w:pPr>
        <w:pStyle w:val="BodyText"/>
        <w:widowControl/>
        <w:tabs>
          <w:tab w:val="left" w:pos="720"/>
        </w:tabs>
        <w:autoSpaceDE/>
        <w:autoSpaceDN/>
        <w:spacing w:before="120" w:line="276" w:lineRule="auto"/>
        <w:rPr>
          <w:rFonts w:asciiTheme="minorBidi" w:hAnsiTheme="minorBidi" w:cstheme="minorBidi"/>
          <w:b/>
          <w:lang w:val="en-GB"/>
        </w:rPr>
      </w:pPr>
      <w:r w:rsidRPr="00216198">
        <w:rPr>
          <w:rFonts w:asciiTheme="minorBidi" w:hAnsiTheme="minorBidi" w:cstheme="minorBidi"/>
          <w:b/>
          <w:lang w:val="en-GB"/>
        </w:rPr>
        <w:t>Recommendation</w:t>
      </w:r>
    </w:p>
    <w:p w14:paraId="75960BE7" w14:textId="77777777" w:rsidR="00C668C2" w:rsidRPr="00216198" w:rsidRDefault="00C668C2" w:rsidP="00C668C2">
      <w:pPr>
        <w:pStyle w:val="BodyText"/>
        <w:spacing w:before="120" w:line="276" w:lineRule="auto"/>
        <w:rPr>
          <w:rFonts w:asciiTheme="minorBidi" w:hAnsiTheme="minorBidi" w:cstheme="minorBidi"/>
          <w:lang w:val="en-GB"/>
        </w:rPr>
      </w:pPr>
      <w:r w:rsidRPr="00216198">
        <w:rPr>
          <w:rFonts w:asciiTheme="minorBidi" w:hAnsiTheme="minorBidi" w:cstheme="minorBidi"/>
          <w:lang w:val="en-GB"/>
        </w:rPr>
        <w:t>In light of his interest in IWEP and the proposed Investment, Dominic White, Chairman of Eight Capital, has not participated in the appraisal by the Board of the Investment. The Company has constituted a committee comprised of the Independent Directors for the purpose of evaluating and providing the recommendation to Independent Shareholders.</w:t>
      </w:r>
    </w:p>
    <w:p w14:paraId="18539302" w14:textId="77777777" w:rsidR="00C668C2" w:rsidRPr="00216198" w:rsidRDefault="00C668C2" w:rsidP="00C668C2">
      <w:pPr>
        <w:pStyle w:val="BodyText"/>
        <w:spacing w:before="120" w:line="276" w:lineRule="auto"/>
        <w:rPr>
          <w:rFonts w:asciiTheme="minorBidi" w:hAnsiTheme="minorBidi" w:cstheme="minorBidi"/>
          <w:b/>
          <w:lang w:val="en-GB"/>
        </w:rPr>
      </w:pPr>
    </w:p>
    <w:p w14:paraId="593B7164" w14:textId="77777777" w:rsidR="00C668C2" w:rsidRPr="003520A4" w:rsidRDefault="00C668C2" w:rsidP="00C668C2">
      <w:pPr>
        <w:pStyle w:val="BodyText"/>
        <w:spacing w:before="120" w:line="276" w:lineRule="auto"/>
        <w:rPr>
          <w:rFonts w:asciiTheme="minorBidi" w:hAnsiTheme="minorBidi" w:cstheme="minorBidi"/>
          <w:b/>
          <w:bCs/>
          <w:lang w:val="en-GB"/>
        </w:rPr>
      </w:pPr>
      <w:bookmarkStart w:id="0" w:name="_Hlk106711866"/>
      <w:r w:rsidRPr="003520A4">
        <w:rPr>
          <w:rFonts w:asciiTheme="minorBidi" w:hAnsiTheme="minorBidi" w:cstheme="minorBidi"/>
          <w:b/>
          <w:bCs/>
          <w:lang w:val="en-GB"/>
        </w:rPr>
        <w:t>The Independent Directors, having been so advised by Cairn Financial Advisers LLP as to the financial terms of the Investment, the Investor Warrant and the Rule 9 Waiver, consider the terms of the Investment, the Investor Warrant, the Rule 9 Waiver and the Rule 9 Waiver Resolution in the Notice of General Meeting to be fair and reasonable and in the best interests of the Independent Shareholders and the Company as a whole. In providing its advice to the Independent Directors, Cairn has taken into account the Independent Directors’ commercial assessments</w:t>
      </w:r>
      <w:bookmarkEnd w:id="0"/>
      <w:r w:rsidRPr="003520A4">
        <w:rPr>
          <w:rFonts w:asciiTheme="minorBidi" w:hAnsiTheme="minorBidi" w:cstheme="minorBidi"/>
          <w:b/>
          <w:bCs/>
          <w:lang w:val="en-GB"/>
        </w:rPr>
        <w:t xml:space="preserve">.  </w:t>
      </w:r>
    </w:p>
    <w:p w14:paraId="5879F5F9" w14:textId="77777777" w:rsidR="00C668C2" w:rsidRPr="00216198" w:rsidRDefault="00C668C2" w:rsidP="00C668C2">
      <w:pPr>
        <w:jc w:val="both"/>
        <w:rPr>
          <w:rFonts w:asciiTheme="minorBidi" w:hAnsiTheme="minorBidi"/>
          <w:sz w:val="20"/>
          <w:szCs w:val="20"/>
        </w:rPr>
      </w:pPr>
    </w:p>
    <w:p w14:paraId="59DE39D5" w14:textId="77777777" w:rsidR="00C668C2" w:rsidRPr="00216198" w:rsidRDefault="00C668C2" w:rsidP="00C668C2">
      <w:pPr>
        <w:spacing w:line="276" w:lineRule="auto"/>
        <w:jc w:val="both"/>
        <w:rPr>
          <w:rFonts w:asciiTheme="minorBidi" w:hAnsiTheme="minorBidi"/>
          <w:sz w:val="20"/>
          <w:szCs w:val="20"/>
        </w:rPr>
      </w:pPr>
      <w:r w:rsidRPr="00216198">
        <w:rPr>
          <w:rFonts w:asciiTheme="minorBidi" w:hAnsiTheme="minorBidi"/>
          <w:sz w:val="20"/>
          <w:szCs w:val="20"/>
        </w:rPr>
        <w:t>Accordingly, the Independent Directors unanimously recommend that Independent Shareholders vote in favour of the Rule 9 Waiver Resolution, and that all Shareholders vote in favour of the other resolutions, as the Independent Directors intend to do in respect of their own beneficial shareholdings, which amount, in aggregate, to 60,143,000 Ordinary Shares, representing approximately 3.84 per cent. of the Existing Ordinary Shares and 5.48 per cent. of the Ordinary Shares held by Independent Shareholders.</w:t>
      </w:r>
    </w:p>
    <w:p w14:paraId="3D5D7B31" w14:textId="77777777" w:rsidR="00C668C2" w:rsidRPr="00216198" w:rsidRDefault="00C668C2" w:rsidP="00C668C2">
      <w:pPr>
        <w:spacing w:line="276" w:lineRule="auto"/>
        <w:jc w:val="both"/>
        <w:rPr>
          <w:rFonts w:asciiTheme="minorBidi" w:hAnsiTheme="minorBidi"/>
          <w:sz w:val="20"/>
          <w:szCs w:val="20"/>
        </w:rPr>
      </w:pPr>
    </w:p>
    <w:p w14:paraId="622D6D41" w14:textId="2B3385FF" w:rsidR="00003DE0" w:rsidRPr="00BA665D" w:rsidRDefault="009A3900" w:rsidP="00BA665D">
      <w:pPr>
        <w:spacing w:line="276" w:lineRule="auto"/>
        <w:jc w:val="both"/>
        <w:rPr>
          <w:rFonts w:asciiTheme="minorBidi" w:hAnsiTheme="minorBidi"/>
          <w:b/>
          <w:sz w:val="20"/>
          <w:szCs w:val="20"/>
        </w:rPr>
      </w:pPr>
      <w:r>
        <w:rPr>
          <w:rFonts w:asciiTheme="minorBidi" w:hAnsiTheme="minorBidi"/>
          <w:b/>
          <w:bCs/>
          <w:sz w:val="20"/>
          <w:szCs w:val="20"/>
        </w:rPr>
        <w:t>The</w:t>
      </w:r>
      <w:r w:rsidR="00003DE0" w:rsidRPr="00216198">
        <w:rPr>
          <w:rFonts w:asciiTheme="minorBidi" w:hAnsiTheme="minorBidi"/>
          <w:b/>
          <w:bCs/>
          <w:sz w:val="20"/>
          <w:szCs w:val="20"/>
        </w:rPr>
        <w:t xml:space="preserve"> Directors of the Company are responsible for the release of this announcement.</w:t>
      </w:r>
    </w:p>
    <w:p w14:paraId="54584EC8" w14:textId="77777777" w:rsidR="0064703B" w:rsidRPr="00216198" w:rsidRDefault="0064703B" w:rsidP="003069DC">
      <w:pPr>
        <w:rPr>
          <w:rFonts w:asciiTheme="minorBidi" w:hAnsiTheme="minorBidi"/>
          <w:sz w:val="20"/>
          <w:szCs w:val="20"/>
        </w:rPr>
      </w:pPr>
    </w:p>
    <w:p w14:paraId="65AF1A1F" w14:textId="653F9C33" w:rsidR="003069DC" w:rsidRPr="00216198" w:rsidRDefault="00B56620" w:rsidP="003069DC">
      <w:pPr>
        <w:rPr>
          <w:rFonts w:asciiTheme="minorBidi" w:hAnsiTheme="minorBidi"/>
          <w:b/>
          <w:bCs/>
          <w:sz w:val="20"/>
          <w:szCs w:val="20"/>
        </w:rPr>
      </w:pPr>
      <w:r w:rsidRPr="00216198">
        <w:rPr>
          <w:rFonts w:asciiTheme="minorBidi" w:hAnsiTheme="minorBidi"/>
          <w:b/>
          <w:bCs/>
          <w:sz w:val="20"/>
          <w:szCs w:val="20"/>
        </w:rPr>
        <w:t>Enquiries:</w:t>
      </w:r>
    </w:p>
    <w:tbl>
      <w:tblPr>
        <w:tblW w:w="5000" w:type="pct"/>
        <w:tblCellMar>
          <w:left w:w="0" w:type="dxa"/>
          <w:right w:w="0" w:type="dxa"/>
        </w:tblCellMar>
        <w:tblLook w:val="04A0" w:firstRow="1" w:lastRow="0" w:firstColumn="1" w:lastColumn="0" w:noHBand="0" w:noVBand="1"/>
      </w:tblPr>
      <w:tblGrid>
        <w:gridCol w:w="3874"/>
        <w:gridCol w:w="5318"/>
      </w:tblGrid>
      <w:tr w:rsidR="003069DC" w:rsidRPr="00216198" w14:paraId="5BB6F682" w14:textId="77777777" w:rsidTr="006F3B0F">
        <w:tc>
          <w:tcPr>
            <w:tcW w:w="2107" w:type="pct"/>
            <w:tcMar>
              <w:top w:w="0" w:type="dxa"/>
              <w:left w:w="108" w:type="dxa"/>
              <w:bottom w:w="0" w:type="dxa"/>
              <w:right w:w="108" w:type="dxa"/>
            </w:tcMar>
            <w:hideMark/>
          </w:tcPr>
          <w:p w14:paraId="098A1179" w14:textId="77777777" w:rsidR="003069DC" w:rsidRPr="00216198" w:rsidRDefault="003069DC" w:rsidP="003520A4">
            <w:pPr>
              <w:spacing w:after="0" w:line="240" w:lineRule="auto"/>
              <w:ind w:left="-105"/>
              <w:jc w:val="both"/>
              <w:rPr>
                <w:rFonts w:asciiTheme="minorBidi" w:eastAsia="Times New Roman" w:hAnsiTheme="minorBidi"/>
                <w:b/>
                <w:bCs/>
                <w:color w:val="000000"/>
                <w:sz w:val="20"/>
                <w:szCs w:val="20"/>
              </w:rPr>
            </w:pPr>
            <w:r w:rsidRPr="00216198">
              <w:rPr>
                <w:rFonts w:asciiTheme="minorBidi" w:eastAsia="Times New Roman" w:hAnsiTheme="minorBidi"/>
                <w:b/>
                <w:bCs/>
                <w:color w:val="000000"/>
                <w:sz w:val="20"/>
                <w:szCs w:val="20"/>
              </w:rPr>
              <w:t>Eight Capital Partners plc</w:t>
            </w:r>
          </w:p>
          <w:p w14:paraId="10CD0C40" w14:textId="122E4130" w:rsidR="003069DC" w:rsidRPr="00216198" w:rsidRDefault="003069DC" w:rsidP="003520A4">
            <w:pPr>
              <w:spacing w:after="0" w:line="240" w:lineRule="auto"/>
              <w:ind w:left="-105"/>
              <w:jc w:val="both"/>
              <w:rPr>
                <w:rFonts w:asciiTheme="minorBidi" w:eastAsia="Times New Roman" w:hAnsiTheme="minorBidi"/>
                <w:color w:val="000000"/>
                <w:sz w:val="20"/>
                <w:szCs w:val="20"/>
              </w:rPr>
            </w:pPr>
            <w:r w:rsidRPr="00216198">
              <w:rPr>
                <w:rFonts w:asciiTheme="minorBidi" w:eastAsia="Times New Roman" w:hAnsiTheme="minorBidi"/>
                <w:color w:val="000000"/>
                <w:sz w:val="20"/>
                <w:szCs w:val="20"/>
              </w:rPr>
              <w:t>Dominic White</w:t>
            </w:r>
            <w:r w:rsidR="004A7325" w:rsidRPr="00216198">
              <w:rPr>
                <w:rFonts w:asciiTheme="minorBidi" w:eastAsia="Times New Roman" w:hAnsiTheme="minorBidi"/>
                <w:color w:val="000000"/>
                <w:sz w:val="20"/>
                <w:szCs w:val="20"/>
              </w:rPr>
              <w:t>, Chairman</w:t>
            </w:r>
          </w:p>
          <w:p w14:paraId="2B67B988" w14:textId="23172F3E" w:rsidR="004A7325" w:rsidRPr="00216198" w:rsidRDefault="004A7325" w:rsidP="003520A4">
            <w:pPr>
              <w:spacing w:after="0" w:line="240" w:lineRule="auto"/>
              <w:ind w:left="-105"/>
              <w:jc w:val="both"/>
              <w:rPr>
                <w:rFonts w:asciiTheme="minorBidi" w:eastAsia="Times New Roman" w:hAnsiTheme="minorBidi"/>
                <w:color w:val="000000"/>
                <w:sz w:val="20"/>
                <w:szCs w:val="20"/>
              </w:rPr>
            </w:pPr>
            <w:r w:rsidRPr="00216198">
              <w:rPr>
                <w:rFonts w:asciiTheme="minorBidi" w:eastAsia="Times New Roman" w:hAnsiTheme="minorBidi"/>
                <w:color w:val="000000"/>
                <w:sz w:val="20"/>
                <w:szCs w:val="20"/>
              </w:rPr>
              <w:t>David Bull, CEO</w:t>
            </w:r>
          </w:p>
          <w:p w14:paraId="255BBD0E" w14:textId="77777777" w:rsidR="003069DC" w:rsidRPr="00216198" w:rsidRDefault="003069DC" w:rsidP="003520A4">
            <w:pPr>
              <w:spacing w:after="0" w:line="240" w:lineRule="auto"/>
              <w:ind w:left="-105"/>
              <w:jc w:val="both"/>
              <w:rPr>
                <w:rFonts w:asciiTheme="minorBidi" w:eastAsia="Times New Roman" w:hAnsiTheme="minorBidi"/>
                <w:color w:val="000000"/>
                <w:sz w:val="20"/>
                <w:szCs w:val="20"/>
              </w:rPr>
            </w:pPr>
            <w:r w:rsidRPr="00216198">
              <w:rPr>
                <w:rFonts w:asciiTheme="minorBidi" w:eastAsia="Times New Roman" w:hAnsiTheme="minorBidi"/>
                <w:color w:val="000000"/>
                <w:sz w:val="20"/>
                <w:szCs w:val="20"/>
              </w:rPr>
              <w:t> </w:t>
            </w:r>
          </w:p>
        </w:tc>
        <w:tc>
          <w:tcPr>
            <w:tcW w:w="2893" w:type="pct"/>
            <w:tcMar>
              <w:top w:w="0" w:type="dxa"/>
              <w:left w:w="108" w:type="dxa"/>
              <w:bottom w:w="0" w:type="dxa"/>
              <w:right w:w="108" w:type="dxa"/>
            </w:tcMar>
            <w:hideMark/>
          </w:tcPr>
          <w:p w14:paraId="4B7098B4" w14:textId="77777777" w:rsidR="003069DC" w:rsidRPr="00216198" w:rsidRDefault="003069DC" w:rsidP="006F3B0F">
            <w:pPr>
              <w:spacing w:after="0" w:line="240" w:lineRule="auto"/>
              <w:jc w:val="both"/>
              <w:rPr>
                <w:rFonts w:asciiTheme="minorBidi" w:eastAsia="Times New Roman" w:hAnsiTheme="minorBidi"/>
                <w:color w:val="000000"/>
                <w:sz w:val="20"/>
                <w:szCs w:val="20"/>
              </w:rPr>
            </w:pPr>
            <w:r w:rsidRPr="00216198">
              <w:rPr>
                <w:rFonts w:asciiTheme="minorBidi" w:eastAsia="Times New Roman" w:hAnsiTheme="minorBidi"/>
                <w:color w:val="000000"/>
                <w:sz w:val="20"/>
                <w:szCs w:val="20"/>
              </w:rPr>
              <w:t>+44 20 3808 0029</w:t>
            </w:r>
          </w:p>
          <w:p w14:paraId="399F0A55" w14:textId="77777777" w:rsidR="003069DC" w:rsidRPr="00216198" w:rsidRDefault="003069DC" w:rsidP="006F3B0F">
            <w:pPr>
              <w:spacing w:after="0" w:line="240" w:lineRule="auto"/>
              <w:jc w:val="both"/>
              <w:rPr>
                <w:rFonts w:asciiTheme="minorBidi" w:eastAsia="Times New Roman" w:hAnsiTheme="minorBidi"/>
                <w:color w:val="000000"/>
                <w:sz w:val="20"/>
                <w:szCs w:val="20"/>
              </w:rPr>
            </w:pPr>
            <w:r w:rsidRPr="00216198">
              <w:rPr>
                <w:rFonts w:asciiTheme="minorBidi" w:eastAsia="Times New Roman" w:hAnsiTheme="minorBidi"/>
                <w:color w:val="000000"/>
                <w:sz w:val="20"/>
                <w:szCs w:val="20"/>
              </w:rPr>
              <w:t>info@eight.capital</w:t>
            </w:r>
          </w:p>
          <w:p w14:paraId="255C29A9" w14:textId="77777777" w:rsidR="003069DC" w:rsidRPr="00216198" w:rsidRDefault="003069DC" w:rsidP="006F3B0F">
            <w:pPr>
              <w:spacing w:after="0" w:line="240" w:lineRule="auto"/>
              <w:jc w:val="both"/>
              <w:rPr>
                <w:rFonts w:asciiTheme="minorBidi" w:eastAsia="Times New Roman" w:hAnsiTheme="minorBidi"/>
                <w:color w:val="000000"/>
                <w:sz w:val="20"/>
                <w:szCs w:val="20"/>
              </w:rPr>
            </w:pPr>
            <w:r w:rsidRPr="00216198">
              <w:rPr>
                <w:rFonts w:asciiTheme="minorBidi" w:eastAsia="Times New Roman" w:hAnsiTheme="minorBidi"/>
                <w:color w:val="000000"/>
                <w:sz w:val="20"/>
                <w:szCs w:val="20"/>
              </w:rPr>
              <w:t> </w:t>
            </w:r>
          </w:p>
        </w:tc>
      </w:tr>
      <w:tr w:rsidR="003069DC" w:rsidRPr="00216198" w14:paraId="44B2D6F5" w14:textId="77777777" w:rsidTr="006F3B0F">
        <w:tc>
          <w:tcPr>
            <w:tcW w:w="2107" w:type="pct"/>
            <w:tcMar>
              <w:top w:w="0" w:type="dxa"/>
              <w:left w:w="108" w:type="dxa"/>
              <w:bottom w:w="0" w:type="dxa"/>
              <w:right w:w="108" w:type="dxa"/>
            </w:tcMar>
            <w:hideMark/>
          </w:tcPr>
          <w:p w14:paraId="151BC952" w14:textId="77777777" w:rsidR="003069DC" w:rsidRPr="00216198" w:rsidRDefault="003069DC" w:rsidP="003520A4">
            <w:pPr>
              <w:spacing w:after="0" w:line="240" w:lineRule="auto"/>
              <w:ind w:left="-105"/>
              <w:jc w:val="both"/>
              <w:rPr>
                <w:rFonts w:asciiTheme="minorBidi" w:eastAsia="Times New Roman" w:hAnsiTheme="minorBidi"/>
                <w:b/>
                <w:bCs/>
                <w:color w:val="000000"/>
                <w:sz w:val="20"/>
                <w:szCs w:val="20"/>
              </w:rPr>
            </w:pPr>
            <w:r w:rsidRPr="00216198">
              <w:rPr>
                <w:rFonts w:asciiTheme="minorBidi" w:eastAsia="Times New Roman" w:hAnsiTheme="minorBidi"/>
                <w:b/>
                <w:bCs/>
                <w:color w:val="000000"/>
                <w:sz w:val="20"/>
                <w:szCs w:val="20"/>
              </w:rPr>
              <w:t>Cairn Financial Advisers LLP</w:t>
            </w:r>
          </w:p>
          <w:p w14:paraId="66071E70" w14:textId="77777777" w:rsidR="003069DC" w:rsidRPr="00216198" w:rsidRDefault="003069DC" w:rsidP="003520A4">
            <w:pPr>
              <w:spacing w:after="0" w:line="240" w:lineRule="auto"/>
              <w:ind w:left="-105"/>
              <w:jc w:val="both"/>
              <w:rPr>
                <w:rFonts w:asciiTheme="minorBidi" w:eastAsia="Times New Roman" w:hAnsiTheme="minorBidi"/>
                <w:i/>
                <w:iCs/>
                <w:color w:val="000000"/>
                <w:sz w:val="20"/>
                <w:szCs w:val="20"/>
              </w:rPr>
            </w:pPr>
            <w:r w:rsidRPr="00216198">
              <w:rPr>
                <w:rFonts w:asciiTheme="minorBidi" w:eastAsia="Times New Roman" w:hAnsiTheme="minorBidi"/>
                <w:i/>
                <w:iCs/>
                <w:color w:val="000000"/>
                <w:sz w:val="20"/>
                <w:szCs w:val="20"/>
              </w:rPr>
              <w:t>AQSE Corporate Adviser</w:t>
            </w:r>
          </w:p>
          <w:p w14:paraId="3A278BC0" w14:textId="77777777" w:rsidR="003069DC" w:rsidRPr="00216198" w:rsidRDefault="003069DC" w:rsidP="003520A4">
            <w:pPr>
              <w:spacing w:after="0" w:line="240" w:lineRule="auto"/>
              <w:ind w:left="-105"/>
              <w:jc w:val="both"/>
              <w:rPr>
                <w:rFonts w:asciiTheme="minorBidi" w:eastAsia="Times New Roman" w:hAnsiTheme="minorBidi"/>
                <w:color w:val="000000"/>
                <w:sz w:val="20"/>
                <w:szCs w:val="20"/>
              </w:rPr>
            </w:pPr>
            <w:r w:rsidRPr="00216198">
              <w:rPr>
                <w:rFonts w:asciiTheme="minorBidi" w:eastAsia="Times New Roman" w:hAnsiTheme="minorBidi"/>
                <w:color w:val="000000"/>
                <w:sz w:val="20"/>
                <w:szCs w:val="20"/>
              </w:rPr>
              <w:t xml:space="preserve">Jo Turner / James Lewis </w:t>
            </w:r>
          </w:p>
        </w:tc>
        <w:tc>
          <w:tcPr>
            <w:tcW w:w="2893" w:type="pct"/>
            <w:tcMar>
              <w:top w:w="0" w:type="dxa"/>
              <w:left w:w="108" w:type="dxa"/>
              <w:bottom w:w="0" w:type="dxa"/>
              <w:right w:w="108" w:type="dxa"/>
            </w:tcMar>
            <w:hideMark/>
          </w:tcPr>
          <w:p w14:paraId="1A290F28" w14:textId="77777777" w:rsidR="003069DC" w:rsidRPr="00216198" w:rsidRDefault="003069DC" w:rsidP="006F3B0F">
            <w:pPr>
              <w:spacing w:after="0" w:line="240" w:lineRule="auto"/>
              <w:jc w:val="both"/>
              <w:rPr>
                <w:rFonts w:asciiTheme="minorBidi" w:eastAsia="Times New Roman" w:hAnsiTheme="minorBidi"/>
                <w:color w:val="000000"/>
                <w:sz w:val="20"/>
                <w:szCs w:val="20"/>
              </w:rPr>
            </w:pPr>
            <w:r w:rsidRPr="00216198">
              <w:rPr>
                <w:rFonts w:asciiTheme="minorBidi" w:eastAsia="Times New Roman" w:hAnsiTheme="minorBidi"/>
                <w:color w:val="000000"/>
                <w:sz w:val="20"/>
                <w:szCs w:val="20"/>
              </w:rPr>
              <w:t>+44 20 7213 0880</w:t>
            </w:r>
          </w:p>
          <w:p w14:paraId="3437332B" w14:textId="77777777" w:rsidR="003069DC" w:rsidRPr="00216198" w:rsidRDefault="003069DC" w:rsidP="006F3B0F">
            <w:pPr>
              <w:spacing w:after="0" w:line="240" w:lineRule="auto"/>
              <w:jc w:val="both"/>
              <w:rPr>
                <w:rFonts w:asciiTheme="minorBidi" w:eastAsia="Times New Roman" w:hAnsiTheme="minorBidi"/>
                <w:color w:val="000000"/>
                <w:sz w:val="20"/>
                <w:szCs w:val="20"/>
              </w:rPr>
            </w:pPr>
            <w:r w:rsidRPr="00216198">
              <w:rPr>
                <w:rFonts w:asciiTheme="minorBidi" w:eastAsia="Times New Roman" w:hAnsiTheme="minorBidi"/>
                <w:color w:val="000000"/>
                <w:sz w:val="20"/>
                <w:szCs w:val="20"/>
              </w:rPr>
              <w:t> </w:t>
            </w:r>
          </w:p>
        </w:tc>
      </w:tr>
      <w:tr w:rsidR="003069DC" w:rsidRPr="00216198" w14:paraId="47DA7B9A" w14:textId="77777777" w:rsidTr="006F3B0F">
        <w:tc>
          <w:tcPr>
            <w:tcW w:w="2107" w:type="pct"/>
            <w:tcMar>
              <w:top w:w="0" w:type="dxa"/>
              <w:left w:w="108" w:type="dxa"/>
              <w:bottom w:w="0" w:type="dxa"/>
              <w:right w:w="108" w:type="dxa"/>
            </w:tcMar>
          </w:tcPr>
          <w:p w14:paraId="1BED42C8" w14:textId="77777777" w:rsidR="003069DC" w:rsidRPr="00216198" w:rsidRDefault="003069DC" w:rsidP="003520A4">
            <w:pPr>
              <w:spacing w:after="0" w:line="240" w:lineRule="auto"/>
              <w:ind w:left="-105"/>
              <w:jc w:val="both"/>
              <w:rPr>
                <w:rFonts w:asciiTheme="minorBidi" w:eastAsia="Times New Roman" w:hAnsiTheme="minorBidi"/>
                <w:b/>
                <w:bCs/>
                <w:color w:val="000000"/>
                <w:sz w:val="20"/>
                <w:szCs w:val="20"/>
                <w:lang w:val="nb-NO"/>
              </w:rPr>
            </w:pPr>
          </w:p>
          <w:p w14:paraId="273C5413" w14:textId="77777777" w:rsidR="003069DC" w:rsidRPr="00216198" w:rsidRDefault="003069DC" w:rsidP="003520A4">
            <w:pPr>
              <w:spacing w:after="0" w:line="240" w:lineRule="auto"/>
              <w:ind w:left="-105"/>
              <w:jc w:val="both"/>
              <w:rPr>
                <w:rFonts w:asciiTheme="minorBidi" w:eastAsia="Times New Roman" w:hAnsiTheme="minorBidi"/>
                <w:b/>
                <w:bCs/>
                <w:color w:val="000000"/>
                <w:sz w:val="20"/>
                <w:szCs w:val="20"/>
                <w:lang w:val="nb-NO"/>
              </w:rPr>
            </w:pPr>
            <w:r w:rsidRPr="00216198">
              <w:rPr>
                <w:rFonts w:asciiTheme="minorBidi" w:eastAsia="Times New Roman" w:hAnsiTheme="minorBidi"/>
                <w:b/>
                <w:bCs/>
                <w:color w:val="000000"/>
                <w:sz w:val="20"/>
                <w:szCs w:val="20"/>
                <w:lang w:val="nb-NO"/>
              </w:rPr>
              <w:t>Walbrook PR Limited</w:t>
            </w:r>
          </w:p>
          <w:p w14:paraId="5072152C" w14:textId="77777777" w:rsidR="003069DC" w:rsidRPr="00216198" w:rsidRDefault="003069DC" w:rsidP="003520A4">
            <w:pPr>
              <w:spacing w:line="259" w:lineRule="auto"/>
              <w:ind w:left="-105"/>
              <w:jc w:val="both"/>
              <w:rPr>
                <w:rFonts w:asciiTheme="minorBidi" w:hAnsiTheme="minorBidi"/>
                <w:sz w:val="20"/>
                <w:szCs w:val="20"/>
                <w:lang w:val="nb-NO"/>
              </w:rPr>
            </w:pPr>
            <w:r w:rsidRPr="00216198">
              <w:rPr>
                <w:rFonts w:asciiTheme="minorBidi" w:hAnsiTheme="minorBidi"/>
                <w:sz w:val="20"/>
                <w:szCs w:val="20"/>
                <w:lang w:val="nb-NO"/>
              </w:rPr>
              <w:t>Paul Vann/Nick Rome</w:t>
            </w:r>
          </w:p>
          <w:p w14:paraId="43A322A2" w14:textId="77777777" w:rsidR="003069DC" w:rsidRPr="00216198" w:rsidRDefault="003069DC" w:rsidP="003520A4">
            <w:pPr>
              <w:spacing w:after="0" w:line="240" w:lineRule="auto"/>
              <w:ind w:left="-105"/>
              <w:jc w:val="both"/>
              <w:rPr>
                <w:rFonts w:asciiTheme="minorBidi" w:eastAsia="Times New Roman" w:hAnsiTheme="minorBidi"/>
                <w:b/>
                <w:bCs/>
                <w:color w:val="000000"/>
                <w:sz w:val="20"/>
                <w:szCs w:val="20"/>
                <w:lang w:val="nb-NO"/>
              </w:rPr>
            </w:pPr>
          </w:p>
        </w:tc>
        <w:tc>
          <w:tcPr>
            <w:tcW w:w="2893" w:type="pct"/>
            <w:tcMar>
              <w:top w:w="0" w:type="dxa"/>
              <w:left w:w="108" w:type="dxa"/>
              <w:bottom w:w="0" w:type="dxa"/>
              <w:right w:w="108" w:type="dxa"/>
            </w:tcMar>
          </w:tcPr>
          <w:p w14:paraId="64747F09" w14:textId="77777777" w:rsidR="003069DC" w:rsidRPr="00216198" w:rsidRDefault="003069DC" w:rsidP="006F3B0F">
            <w:pPr>
              <w:spacing w:after="0" w:line="240" w:lineRule="auto"/>
              <w:jc w:val="both"/>
              <w:rPr>
                <w:rFonts w:asciiTheme="minorBidi" w:eastAsia="Times New Roman" w:hAnsiTheme="minorBidi"/>
                <w:color w:val="000000"/>
                <w:sz w:val="20"/>
                <w:szCs w:val="20"/>
                <w:lang w:val="nb-NO"/>
              </w:rPr>
            </w:pPr>
          </w:p>
          <w:p w14:paraId="2EE08C82" w14:textId="77777777" w:rsidR="003069DC" w:rsidRPr="00216198" w:rsidRDefault="003069DC" w:rsidP="006F3B0F">
            <w:pPr>
              <w:spacing w:after="0" w:line="240" w:lineRule="auto"/>
              <w:jc w:val="both"/>
              <w:rPr>
                <w:rFonts w:asciiTheme="minorBidi" w:eastAsia="Times New Roman" w:hAnsiTheme="minorBidi"/>
                <w:color w:val="000000"/>
                <w:sz w:val="20"/>
                <w:szCs w:val="20"/>
              </w:rPr>
            </w:pPr>
            <w:r w:rsidRPr="00216198">
              <w:rPr>
                <w:rFonts w:asciiTheme="minorBidi" w:eastAsia="Times New Roman" w:hAnsiTheme="minorBidi"/>
                <w:color w:val="000000"/>
                <w:sz w:val="20"/>
                <w:szCs w:val="20"/>
              </w:rPr>
              <w:t>+44 20 7933 8780</w:t>
            </w:r>
          </w:p>
          <w:p w14:paraId="777B14D1" w14:textId="77777777" w:rsidR="003069DC" w:rsidRPr="00216198" w:rsidRDefault="003069DC" w:rsidP="006F3B0F">
            <w:pPr>
              <w:spacing w:after="0" w:line="240" w:lineRule="auto"/>
              <w:jc w:val="both"/>
              <w:rPr>
                <w:rFonts w:asciiTheme="minorBidi" w:eastAsia="Times New Roman" w:hAnsiTheme="minorBidi"/>
                <w:color w:val="000000"/>
                <w:sz w:val="20"/>
                <w:szCs w:val="20"/>
              </w:rPr>
            </w:pPr>
            <w:r w:rsidRPr="00216198">
              <w:rPr>
                <w:rFonts w:asciiTheme="minorBidi" w:eastAsia="Times New Roman" w:hAnsiTheme="minorBidi"/>
                <w:color w:val="000000"/>
                <w:sz w:val="20"/>
                <w:szCs w:val="20"/>
              </w:rPr>
              <w:t>Paul.vann@walbrookpr.com</w:t>
            </w:r>
          </w:p>
        </w:tc>
      </w:tr>
    </w:tbl>
    <w:p w14:paraId="1CBEA9E5" w14:textId="77777777" w:rsidR="00B30BAF" w:rsidRDefault="00B30BAF" w:rsidP="003069DC">
      <w:pPr>
        <w:spacing w:after="0" w:line="240" w:lineRule="auto"/>
        <w:jc w:val="both"/>
        <w:rPr>
          <w:rFonts w:asciiTheme="minorBidi" w:hAnsiTheme="minorBidi"/>
          <w:b/>
          <w:bCs/>
          <w:sz w:val="20"/>
          <w:szCs w:val="20"/>
        </w:rPr>
      </w:pPr>
      <w:bookmarkStart w:id="1" w:name="_Hlk102732320"/>
    </w:p>
    <w:p w14:paraId="60A99E09" w14:textId="77777777" w:rsidR="00B30BAF" w:rsidRDefault="00B30BAF" w:rsidP="003069DC">
      <w:pPr>
        <w:spacing w:after="0" w:line="240" w:lineRule="auto"/>
        <w:jc w:val="both"/>
        <w:rPr>
          <w:rFonts w:asciiTheme="minorBidi" w:hAnsiTheme="minorBidi"/>
          <w:b/>
          <w:bCs/>
          <w:sz w:val="20"/>
          <w:szCs w:val="20"/>
        </w:rPr>
      </w:pPr>
    </w:p>
    <w:p w14:paraId="23C4AF85" w14:textId="59886578" w:rsidR="003069DC" w:rsidRPr="00216198" w:rsidRDefault="003069DC" w:rsidP="003069DC">
      <w:pPr>
        <w:spacing w:after="0" w:line="240" w:lineRule="auto"/>
        <w:jc w:val="both"/>
        <w:rPr>
          <w:rFonts w:asciiTheme="minorBidi" w:hAnsiTheme="minorBidi"/>
          <w:b/>
          <w:bCs/>
          <w:sz w:val="20"/>
          <w:szCs w:val="20"/>
        </w:rPr>
      </w:pPr>
      <w:r w:rsidRPr="00216198">
        <w:rPr>
          <w:rFonts w:asciiTheme="minorBidi" w:hAnsiTheme="minorBidi"/>
          <w:b/>
          <w:bCs/>
          <w:sz w:val="20"/>
          <w:szCs w:val="20"/>
        </w:rPr>
        <w:lastRenderedPageBreak/>
        <w:t>About Eight Capital Partners:</w:t>
      </w:r>
    </w:p>
    <w:bookmarkEnd w:id="1"/>
    <w:p w14:paraId="4B8E3C5C" w14:textId="77777777" w:rsidR="003069DC" w:rsidRPr="00216198" w:rsidRDefault="003069DC" w:rsidP="003069DC">
      <w:pPr>
        <w:spacing w:after="0" w:line="240" w:lineRule="auto"/>
        <w:jc w:val="both"/>
        <w:rPr>
          <w:rFonts w:asciiTheme="minorBidi" w:hAnsiTheme="minorBidi"/>
          <w:sz w:val="20"/>
          <w:szCs w:val="20"/>
        </w:rPr>
      </w:pPr>
      <w:r w:rsidRPr="00216198">
        <w:rPr>
          <w:rFonts w:asciiTheme="minorBidi" w:hAnsiTheme="minorBidi"/>
          <w:sz w:val="20"/>
          <w:szCs w:val="20"/>
        </w:rPr>
        <w:t>Eight Capital Partners plc is an international financial services operating company focused on owning and operating businesses engaged in “Fintech” operations, from the digitisation of banking services, through to blockchain-backed decentralised finance companies.</w:t>
      </w:r>
    </w:p>
    <w:p w14:paraId="2AAE745C" w14:textId="77777777" w:rsidR="003069DC" w:rsidRPr="00216198" w:rsidRDefault="003069DC" w:rsidP="003069DC">
      <w:pPr>
        <w:spacing w:after="0" w:line="240" w:lineRule="auto"/>
        <w:jc w:val="both"/>
        <w:rPr>
          <w:rFonts w:asciiTheme="minorBidi" w:hAnsiTheme="minorBidi"/>
          <w:sz w:val="20"/>
          <w:szCs w:val="20"/>
        </w:rPr>
      </w:pPr>
    </w:p>
    <w:p w14:paraId="01B2A639" w14:textId="77777777" w:rsidR="003069DC" w:rsidRPr="00216198" w:rsidRDefault="003069DC" w:rsidP="003069DC">
      <w:pPr>
        <w:spacing w:after="0" w:line="240" w:lineRule="auto"/>
        <w:jc w:val="both"/>
        <w:rPr>
          <w:rFonts w:asciiTheme="minorBidi" w:hAnsiTheme="minorBidi"/>
          <w:sz w:val="20"/>
          <w:szCs w:val="20"/>
        </w:rPr>
      </w:pPr>
      <w:r w:rsidRPr="00216198">
        <w:rPr>
          <w:rFonts w:asciiTheme="minorBidi" w:hAnsiTheme="minorBidi"/>
          <w:sz w:val="20"/>
          <w:szCs w:val="20"/>
        </w:rPr>
        <w:t>ECP provides equity, debt, and equity-related investment capital to companies seeking capital for growth and development, consolidation or acquisition, or pre-IPO financing. The Company seeks to generate an attractive rate of return for shareholders, predominantly through capital appreciation, by maximising the revenues, profits and value of its operating subsidiaries, and taking advantage of the increasing number of acquisition opportunities within the continuously developing global technology, and fintech sectors.</w:t>
      </w:r>
    </w:p>
    <w:p w14:paraId="3D9F800B" w14:textId="77777777" w:rsidR="003069DC" w:rsidRPr="00216198" w:rsidRDefault="00B30BAF" w:rsidP="003069DC">
      <w:pPr>
        <w:spacing w:after="0" w:line="240" w:lineRule="auto"/>
        <w:jc w:val="both"/>
        <w:rPr>
          <w:rFonts w:asciiTheme="minorBidi" w:hAnsiTheme="minorBidi"/>
          <w:sz w:val="20"/>
          <w:szCs w:val="20"/>
        </w:rPr>
      </w:pPr>
      <w:hyperlink r:id="rId13" w:history="1">
        <w:r w:rsidR="003069DC" w:rsidRPr="00216198">
          <w:rPr>
            <w:rFonts w:asciiTheme="minorBidi" w:eastAsiaTheme="minorHAnsi" w:hAnsiTheme="minorBidi"/>
            <w:color w:val="0563C1" w:themeColor="hyperlink"/>
            <w:sz w:val="20"/>
            <w:szCs w:val="20"/>
            <w:u w:val="single"/>
          </w:rPr>
          <w:t>www.eight.capital</w:t>
        </w:r>
      </w:hyperlink>
    </w:p>
    <w:p w14:paraId="2B000DB3" w14:textId="77777777" w:rsidR="003069DC" w:rsidRPr="00216198" w:rsidRDefault="003069DC" w:rsidP="003069DC">
      <w:pPr>
        <w:spacing w:after="0" w:line="240" w:lineRule="auto"/>
        <w:jc w:val="both"/>
        <w:rPr>
          <w:rFonts w:asciiTheme="minorBidi" w:hAnsiTheme="minorBidi"/>
          <w:sz w:val="20"/>
          <w:szCs w:val="20"/>
        </w:rPr>
      </w:pPr>
    </w:p>
    <w:p w14:paraId="3C1A657E" w14:textId="77777777" w:rsidR="003069DC" w:rsidRPr="00216198" w:rsidRDefault="003069DC" w:rsidP="003069DC">
      <w:pPr>
        <w:spacing w:after="0" w:line="240" w:lineRule="auto"/>
        <w:jc w:val="both"/>
        <w:rPr>
          <w:rFonts w:asciiTheme="minorBidi" w:hAnsiTheme="minorBidi"/>
          <w:b/>
          <w:bCs/>
          <w:sz w:val="20"/>
          <w:szCs w:val="20"/>
        </w:rPr>
      </w:pPr>
      <w:r w:rsidRPr="00216198">
        <w:rPr>
          <w:rFonts w:asciiTheme="minorBidi" w:hAnsiTheme="minorBidi"/>
          <w:b/>
          <w:bCs/>
          <w:sz w:val="20"/>
          <w:szCs w:val="20"/>
        </w:rPr>
        <w:t xml:space="preserve">Eight Capital Partners operates two subsidiary businesses: </w:t>
      </w:r>
    </w:p>
    <w:p w14:paraId="5BB467F7" w14:textId="77777777" w:rsidR="003069DC" w:rsidRPr="00216198" w:rsidRDefault="003069DC" w:rsidP="003069DC">
      <w:pPr>
        <w:spacing w:after="0" w:line="240" w:lineRule="auto"/>
        <w:jc w:val="both"/>
        <w:rPr>
          <w:rFonts w:asciiTheme="minorBidi" w:hAnsiTheme="minorBidi"/>
          <w:sz w:val="20"/>
          <w:szCs w:val="20"/>
        </w:rPr>
      </w:pPr>
    </w:p>
    <w:p w14:paraId="33055CBA" w14:textId="77777777" w:rsidR="003069DC" w:rsidRPr="00216198" w:rsidRDefault="003069DC" w:rsidP="003069DC">
      <w:pPr>
        <w:spacing w:after="0" w:line="240" w:lineRule="auto"/>
        <w:jc w:val="both"/>
        <w:rPr>
          <w:rFonts w:asciiTheme="minorBidi" w:eastAsiaTheme="minorHAnsi" w:hAnsiTheme="minorBidi"/>
          <w:b/>
          <w:bCs/>
          <w:i/>
          <w:iCs/>
          <w:sz w:val="20"/>
          <w:szCs w:val="20"/>
        </w:rPr>
      </w:pPr>
      <w:r w:rsidRPr="00216198">
        <w:rPr>
          <w:rFonts w:asciiTheme="minorBidi" w:eastAsiaTheme="minorHAnsi" w:hAnsiTheme="minorBidi"/>
          <w:b/>
          <w:bCs/>
          <w:i/>
          <w:iCs/>
          <w:sz w:val="20"/>
          <w:szCs w:val="20"/>
        </w:rPr>
        <w:t>Epsion Capital:</w:t>
      </w:r>
    </w:p>
    <w:p w14:paraId="6FC317EB" w14:textId="77777777" w:rsidR="003069DC" w:rsidRPr="00216198" w:rsidRDefault="003069DC" w:rsidP="003069DC">
      <w:pPr>
        <w:spacing w:after="0" w:line="240" w:lineRule="auto"/>
        <w:jc w:val="both"/>
        <w:rPr>
          <w:rFonts w:asciiTheme="minorBidi" w:hAnsiTheme="minorBidi"/>
          <w:sz w:val="20"/>
          <w:szCs w:val="20"/>
        </w:rPr>
      </w:pPr>
      <w:r w:rsidRPr="00216198">
        <w:rPr>
          <w:rFonts w:asciiTheme="minorBidi" w:eastAsiaTheme="minorHAnsi" w:hAnsiTheme="minorBidi"/>
          <w:sz w:val="20"/>
          <w:szCs w:val="20"/>
        </w:rPr>
        <w:t xml:space="preserve">Epsion Capital is an independent corporate advisory firm based in London with an extensive experience in UK and European capital markets. The company is specialised in ECM, DCM, structured investment facilities, and M&amp;A across multiple markets, sectors and geographies.  It prides itself on a commercial approach that enables its clients to achieve their growth ambitions. </w:t>
      </w:r>
      <w:hyperlink r:id="rId14" w:history="1">
        <w:r w:rsidRPr="00216198">
          <w:rPr>
            <w:rFonts w:asciiTheme="minorBidi" w:hAnsiTheme="minorBidi"/>
            <w:color w:val="0563C1" w:themeColor="hyperlink"/>
            <w:sz w:val="20"/>
            <w:szCs w:val="20"/>
            <w:u w:val="single"/>
          </w:rPr>
          <w:t>www.epsioncapital.com</w:t>
        </w:r>
      </w:hyperlink>
    </w:p>
    <w:p w14:paraId="2A799619" w14:textId="77777777" w:rsidR="003069DC" w:rsidRPr="00216198" w:rsidRDefault="003069DC" w:rsidP="003069DC">
      <w:pPr>
        <w:spacing w:after="0" w:line="240" w:lineRule="auto"/>
        <w:jc w:val="both"/>
        <w:rPr>
          <w:rFonts w:asciiTheme="minorBidi" w:eastAsiaTheme="minorHAnsi" w:hAnsiTheme="minorBidi"/>
          <w:color w:val="0563C1" w:themeColor="hyperlink"/>
          <w:sz w:val="20"/>
          <w:szCs w:val="20"/>
          <w:u w:val="single"/>
        </w:rPr>
      </w:pPr>
    </w:p>
    <w:p w14:paraId="157FFD26" w14:textId="77777777" w:rsidR="003069DC" w:rsidRPr="00216198" w:rsidRDefault="003069DC" w:rsidP="003069DC">
      <w:pPr>
        <w:spacing w:after="0" w:line="240" w:lineRule="auto"/>
        <w:jc w:val="both"/>
        <w:rPr>
          <w:rFonts w:asciiTheme="minorBidi" w:eastAsiaTheme="minorHAnsi" w:hAnsiTheme="minorBidi"/>
          <w:b/>
          <w:bCs/>
          <w:i/>
          <w:iCs/>
          <w:sz w:val="20"/>
          <w:szCs w:val="20"/>
        </w:rPr>
      </w:pPr>
      <w:r w:rsidRPr="00216198">
        <w:rPr>
          <w:rFonts w:asciiTheme="minorBidi" w:eastAsiaTheme="minorHAnsi" w:hAnsiTheme="minorBidi"/>
          <w:b/>
          <w:bCs/>
          <w:i/>
          <w:iCs/>
          <w:sz w:val="20"/>
          <w:szCs w:val="20"/>
        </w:rPr>
        <w:t>Innovative Finance:</w:t>
      </w:r>
    </w:p>
    <w:p w14:paraId="6A1F59E4" w14:textId="77777777" w:rsidR="003069DC" w:rsidRPr="00216198" w:rsidRDefault="003069DC" w:rsidP="003069DC">
      <w:pPr>
        <w:spacing w:after="0" w:line="240" w:lineRule="auto"/>
        <w:jc w:val="both"/>
        <w:rPr>
          <w:rFonts w:asciiTheme="minorBidi" w:hAnsiTheme="minorBidi"/>
          <w:sz w:val="20"/>
          <w:szCs w:val="20"/>
        </w:rPr>
      </w:pPr>
      <w:r w:rsidRPr="00216198">
        <w:rPr>
          <w:rFonts w:asciiTheme="minorBidi" w:eastAsiaTheme="minorHAnsi" w:hAnsiTheme="minorBidi"/>
          <w:sz w:val="20"/>
          <w:szCs w:val="20"/>
        </w:rPr>
        <w:t xml:space="preserve">Innovative Finance is a corporate finance advisory business that sources and develops mergers and acquisitions and financing solutions across multiple sectors, primarily in Europe, with access to international transactions. It is currently working on transactions in North America and Europe which are linked to technological developments in the financial services industry, e-commerce and cannabis. </w:t>
      </w:r>
      <w:hyperlink r:id="rId15" w:history="1">
        <w:r w:rsidRPr="00216198">
          <w:rPr>
            <w:rFonts w:asciiTheme="minorBidi" w:eastAsiaTheme="minorHAnsi" w:hAnsiTheme="minorBidi"/>
            <w:color w:val="0563C1" w:themeColor="hyperlink"/>
            <w:sz w:val="20"/>
            <w:szCs w:val="20"/>
            <w:u w:val="single"/>
          </w:rPr>
          <w:t>www.innovfinance.com</w:t>
        </w:r>
      </w:hyperlink>
      <w:r w:rsidRPr="00216198">
        <w:rPr>
          <w:rFonts w:asciiTheme="minorBidi" w:hAnsiTheme="minorBidi"/>
          <w:sz w:val="20"/>
          <w:szCs w:val="20"/>
        </w:rPr>
        <w:t xml:space="preserve"> </w:t>
      </w:r>
    </w:p>
    <w:p w14:paraId="362E34E4" w14:textId="77777777" w:rsidR="003069DC" w:rsidRPr="00216198" w:rsidRDefault="003069DC" w:rsidP="009B7566">
      <w:pPr>
        <w:spacing w:after="180" w:line="300" w:lineRule="atLeast"/>
        <w:jc w:val="both"/>
        <w:rPr>
          <w:rFonts w:asciiTheme="minorBidi" w:hAnsiTheme="minorBidi"/>
          <w:bCs/>
          <w:sz w:val="20"/>
          <w:szCs w:val="20"/>
        </w:rPr>
      </w:pPr>
    </w:p>
    <w:p w14:paraId="0DA75193" w14:textId="3C29EB1C" w:rsidR="00A50C6C" w:rsidRPr="00216198" w:rsidRDefault="00B37A7C" w:rsidP="008B20CA">
      <w:pPr>
        <w:autoSpaceDE w:val="0"/>
        <w:autoSpaceDN w:val="0"/>
        <w:adjustRightInd w:val="0"/>
        <w:spacing w:after="180" w:line="300" w:lineRule="atLeast"/>
        <w:rPr>
          <w:rFonts w:asciiTheme="minorBidi" w:hAnsiTheme="minorBidi"/>
          <w:sz w:val="20"/>
          <w:szCs w:val="20"/>
        </w:rPr>
      </w:pPr>
      <w:r w:rsidRPr="00A42BE5">
        <w:rPr>
          <w:rFonts w:asciiTheme="minorBidi" w:hAnsiTheme="minorBidi"/>
          <w:b/>
          <w:bCs/>
          <w:sz w:val="20"/>
          <w:szCs w:val="20"/>
        </w:rPr>
        <w:t>IMPORTANT NOTICES</w:t>
      </w:r>
    </w:p>
    <w:p w14:paraId="36300DC8" w14:textId="77777777" w:rsidR="00F51B42" w:rsidRPr="00216198" w:rsidRDefault="00F51B42" w:rsidP="00F51B42">
      <w:pPr>
        <w:pStyle w:val="BodyText"/>
        <w:spacing w:before="120" w:line="276" w:lineRule="auto"/>
        <w:rPr>
          <w:rFonts w:asciiTheme="minorBidi" w:hAnsiTheme="minorBidi" w:cstheme="minorBidi"/>
          <w:b/>
          <w:lang w:val="en-GB"/>
        </w:rPr>
      </w:pPr>
      <w:r w:rsidRPr="00216198">
        <w:rPr>
          <w:rFonts w:asciiTheme="minorBidi" w:hAnsiTheme="minorBidi" w:cstheme="minorBidi"/>
          <w:b/>
          <w:lang w:val="en-GB"/>
        </w:rPr>
        <w:t>Cautionary note regarding forward-looking statements</w:t>
      </w:r>
    </w:p>
    <w:p w14:paraId="6C8D84C0" w14:textId="1D58A2F0" w:rsidR="00F51B42" w:rsidRPr="00216198" w:rsidRDefault="00F51B42" w:rsidP="00F51B42">
      <w:pPr>
        <w:pStyle w:val="BodyText"/>
        <w:spacing w:before="120" w:line="276" w:lineRule="auto"/>
        <w:rPr>
          <w:rFonts w:asciiTheme="minorBidi" w:hAnsiTheme="minorBidi" w:cstheme="minorBidi"/>
          <w:lang w:val="en-GB"/>
        </w:rPr>
      </w:pPr>
      <w:r w:rsidRPr="00216198">
        <w:rPr>
          <w:rFonts w:asciiTheme="minorBidi" w:hAnsiTheme="minorBidi" w:cstheme="minorBidi"/>
          <w:lang w:val="en-GB"/>
        </w:rPr>
        <w:t xml:space="preserve">This </w:t>
      </w:r>
      <w:r w:rsidR="00BA665D">
        <w:rPr>
          <w:rFonts w:asciiTheme="minorBidi" w:hAnsiTheme="minorBidi" w:cstheme="minorBidi"/>
          <w:lang w:val="en-GB"/>
        </w:rPr>
        <w:t>announcement</w:t>
      </w:r>
      <w:r w:rsidRPr="00216198">
        <w:rPr>
          <w:rFonts w:asciiTheme="minorBidi" w:hAnsiTheme="minorBidi" w:cstheme="minorBidi"/>
          <w:lang w:val="en-GB"/>
        </w:rPr>
        <w:t xml:space="preserve"> contains certain statements about Eight Capital and certain of its current plans, goals and expectations relating to its future financial condition and performance and which involve a number of risks and uncertainties. The Company cautions readers that no forward-looking statements are a guarantee of future performance and that actual results could differ materially from those contained in such forward-looking statements. All statements, other than statements of historical facts, included in this </w:t>
      </w:r>
      <w:r w:rsidR="00512113">
        <w:rPr>
          <w:rFonts w:asciiTheme="minorBidi" w:hAnsiTheme="minorBidi" w:cstheme="minorBidi"/>
          <w:lang w:val="en-GB"/>
        </w:rPr>
        <w:t>announcement</w:t>
      </w:r>
      <w:r w:rsidRPr="00216198">
        <w:rPr>
          <w:rFonts w:asciiTheme="minorBidi" w:hAnsiTheme="minorBidi" w:cstheme="minorBidi"/>
          <w:lang w:val="en-GB"/>
        </w:rPr>
        <w:t xml:space="preserve"> preceded or followed by, or that include, the words ‘‘targets’’, ‘‘plans’’, ‘‘believes’’, ‘‘expects’’, ‘‘aims’’, ‘‘intends’’, ‘‘will’’, ‘‘may’’, ‘‘should’’, ‘‘anticipates’’, ‘‘estimates’’, ‘‘projects’’ or words or terms of similar substance or the negative thereof, are or may be forward-looking statements. Forward-looking statements also include statements relating to the following: (i) future capital expenditures, expenses, revenues, earnings, synergies, economic performance, indebtedness, financial condition, dividend policy, losses and future prospects and (ii) business and management strategies and the expansion and growth of the operations of Eight Capital. These forward-looking statements are not guarantees of future performance and have not been reviewed by the auditors of Eight Capital, or any other adviser. By their nature, forward-looking statements involve known and unknown risks, uncertainties and other factors (a number of which are beyond the Company’s control) which may cause the actual results, performance or achievements of any such person, or industry results, to be materially different from any results, performance or achievements expressed or implied by such forward-looking statements. These forward-looking statements are based on assumptions regarding the present and future business strategies of Eight Capital and the environment in which it will operate in the future. Shareholders should not place undue reliance on such forward-looking statements and, save as is required by law or regulation (including to meet the requirements of the AQSE Rules, the Disclosure Guidance and Transparency Rules and/or the Prospectus </w:t>
      </w:r>
      <w:r w:rsidR="002F0F64">
        <w:rPr>
          <w:rFonts w:asciiTheme="minorBidi" w:hAnsiTheme="minorBidi" w:cstheme="minorBidi"/>
          <w:lang w:val="en-GB"/>
        </w:rPr>
        <w:t xml:space="preserve">Regulation </w:t>
      </w:r>
      <w:r w:rsidRPr="00216198">
        <w:rPr>
          <w:rFonts w:asciiTheme="minorBidi" w:hAnsiTheme="minorBidi" w:cstheme="minorBidi"/>
          <w:lang w:val="en-GB"/>
        </w:rPr>
        <w:t xml:space="preserve">Rules), Eight Capital does not undertake any obligation to update publicly or revise any forward-looking statements (including to reflect any change in expectations with regard thereto or any change in events, conditions or circumstances on which any such statement is based). All subsequent oral or written forward-looking statements attributed to Eight Capital or any </w:t>
      </w:r>
      <w:r w:rsidRPr="00216198">
        <w:rPr>
          <w:rFonts w:asciiTheme="minorBidi" w:hAnsiTheme="minorBidi" w:cstheme="minorBidi"/>
          <w:lang w:val="en-GB"/>
        </w:rPr>
        <w:lastRenderedPageBreak/>
        <w:t xml:space="preserve">persons acting on its behalf are expressly qualified in their entirety by the cautionary statement above. All forward-looking statements contained in this </w:t>
      </w:r>
      <w:r w:rsidR="00512113">
        <w:rPr>
          <w:rFonts w:asciiTheme="minorBidi" w:hAnsiTheme="minorBidi" w:cstheme="minorBidi"/>
          <w:lang w:val="en-GB"/>
        </w:rPr>
        <w:t>announcement</w:t>
      </w:r>
      <w:r w:rsidR="00512113" w:rsidRPr="00216198">
        <w:rPr>
          <w:rFonts w:asciiTheme="minorBidi" w:hAnsiTheme="minorBidi" w:cstheme="minorBidi"/>
          <w:lang w:val="en-GB"/>
        </w:rPr>
        <w:t xml:space="preserve"> </w:t>
      </w:r>
      <w:r w:rsidRPr="00216198">
        <w:rPr>
          <w:rFonts w:asciiTheme="minorBidi" w:hAnsiTheme="minorBidi" w:cstheme="minorBidi"/>
          <w:lang w:val="en-GB"/>
        </w:rPr>
        <w:t xml:space="preserve">are based on information available to the Directors of Eight Capital as at the date of this </w:t>
      </w:r>
      <w:r w:rsidR="00512113">
        <w:rPr>
          <w:rFonts w:asciiTheme="minorBidi" w:hAnsiTheme="minorBidi" w:cstheme="minorBidi"/>
          <w:lang w:val="en-GB"/>
        </w:rPr>
        <w:t>announcement</w:t>
      </w:r>
      <w:r w:rsidRPr="00216198">
        <w:rPr>
          <w:rFonts w:asciiTheme="minorBidi" w:hAnsiTheme="minorBidi" w:cstheme="minorBidi"/>
          <w:lang w:val="en-GB"/>
        </w:rPr>
        <w:t xml:space="preserve">, unless some other time is specified in relation to them, and the posting or receipt of this </w:t>
      </w:r>
      <w:r w:rsidR="00512113">
        <w:rPr>
          <w:rFonts w:asciiTheme="minorBidi" w:hAnsiTheme="minorBidi" w:cstheme="minorBidi"/>
          <w:lang w:val="en-GB"/>
        </w:rPr>
        <w:t>announcement</w:t>
      </w:r>
      <w:r w:rsidR="00512113" w:rsidRPr="00216198">
        <w:rPr>
          <w:rFonts w:asciiTheme="minorBidi" w:hAnsiTheme="minorBidi" w:cstheme="minorBidi"/>
          <w:lang w:val="en-GB"/>
        </w:rPr>
        <w:t xml:space="preserve"> </w:t>
      </w:r>
      <w:r w:rsidRPr="00216198">
        <w:rPr>
          <w:rFonts w:asciiTheme="minorBidi" w:hAnsiTheme="minorBidi" w:cstheme="minorBidi"/>
          <w:lang w:val="en-GB"/>
        </w:rPr>
        <w:t>shall not give rise to any implication that there has been no change in the facts set forth herein since such date.</w:t>
      </w:r>
    </w:p>
    <w:p w14:paraId="6A7B6DC3" w14:textId="0399BD94" w:rsidR="00B37A7C" w:rsidRDefault="00B37A7C" w:rsidP="008B20CA">
      <w:pPr>
        <w:autoSpaceDE w:val="0"/>
        <w:autoSpaceDN w:val="0"/>
        <w:adjustRightInd w:val="0"/>
        <w:spacing w:after="180" w:line="300" w:lineRule="atLeast"/>
        <w:rPr>
          <w:rFonts w:asciiTheme="minorBidi" w:hAnsiTheme="minorBidi"/>
          <w:sz w:val="20"/>
          <w:szCs w:val="20"/>
        </w:rPr>
      </w:pPr>
    </w:p>
    <w:p w14:paraId="7CF00C79" w14:textId="1F4A4AE9" w:rsidR="00876139" w:rsidRPr="00876139" w:rsidRDefault="00876139" w:rsidP="00876139">
      <w:pPr>
        <w:spacing w:line="259" w:lineRule="auto"/>
        <w:jc w:val="center"/>
        <w:rPr>
          <w:rFonts w:asciiTheme="minorBidi" w:hAnsiTheme="minorBidi"/>
          <w:b/>
          <w:bCs/>
          <w:sz w:val="20"/>
          <w:szCs w:val="20"/>
        </w:rPr>
      </w:pPr>
      <w:r w:rsidRPr="00876139">
        <w:rPr>
          <w:rFonts w:asciiTheme="minorBidi" w:hAnsiTheme="minorBidi"/>
          <w:b/>
          <w:bCs/>
          <w:sz w:val="20"/>
          <w:szCs w:val="20"/>
        </w:rPr>
        <w:br w:type="page"/>
      </w:r>
    </w:p>
    <w:p w14:paraId="002895A1" w14:textId="60AD72F3" w:rsidR="00A14EEE" w:rsidRPr="00876139" w:rsidRDefault="00876139" w:rsidP="00876139">
      <w:pPr>
        <w:autoSpaceDE w:val="0"/>
        <w:autoSpaceDN w:val="0"/>
        <w:adjustRightInd w:val="0"/>
        <w:spacing w:after="180" w:line="300" w:lineRule="atLeast"/>
        <w:jc w:val="center"/>
        <w:rPr>
          <w:rFonts w:asciiTheme="minorBidi" w:hAnsiTheme="minorBidi"/>
          <w:b/>
          <w:bCs/>
          <w:sz w:val="20"/>
          <w:szCs w:val="20"/>
        </w:rPr>
      </w:pPr>
      <w:r>
        <w:rPr>
          <w:rFonts w:asciiTheme="minorBidi" w:hAnsiTheme="minorBidi"/>
          <w:b/>
          <w:bCs/>
          <w:sz w:val="20"/>
          <w:szCs w:val="20"/>
        </w:rPr>
        <w:lastRenderedPageBreak/>
        <w:t>APPENDIX I</w:t>
      </w:r>
    </w:p>
    <w:p w14:paraId="152CB34A" w14:textId="77777777" w:rsidR="00876139" w:rsidRDefault="00876139" w:rsidP="00876139">
      <w:pPr>
        <w:pStyle w:val="Heading2"/>
        <w:spacing w:line="276" w:lineRule="auto"/>
        <w:rPr>
          <w:rFonts w:ascii="Arial" w:hAnsi="Arial" w:cs="Arial"/>
          <w:lang w:val="en-GB"/>
        </w:rPr>
      </w:pPr>
    </w:p>
    <w:p w14:paraId="6EE6DE65" w14:textId="77777777" w:rsidR="00876139" w:rsidRPr="00E07E4B" w:rsidRDefault="00876139" w:rsidP="00876139">
      <w:pPr>
        <w:jc w:val="center"/>
        <w:rPr>
          <w:b/>
          <w:bCs/>
        </w:rPr>
      </w:pPr>
      <w:r w:rsidRPr="00E07E4B">
        <w:rPr>
          <w:b/>
          <w:bCs/>
        </w:rPr>
        <w:t>INVESTMENT STATISTICS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701"/>
      </w:tblGrid>
      <w:tr w:rsidR="00876139" w14:paraId="70F1B5AD" w14:textId="77777777" w:rsidTr="003821ED">
        <w:tc>
          <w:tcPr>
            <w:tcW w:w="7371" w:type="dxa"/>
          </w:tcPr>
          <w:p w14:paraId="29EEB198" w14:textId="77777777" w:rsidR="00876139" w:rsidRDefault="00876139" w:rsidP="003821ED">
            <w:pPr>
              <w:pStyle w:val="BodyText"/>
              <w:tabs>
                <w:tab w:val="left" w:pos="360"/>
              </w:tabs>
              <w:spacing w:before="240" w:line="276" w:lineRule="auto"/>
              <w:rPr>
                <w:rFonts w:ascii="Arial" w:hAnsi="Arial" w:cs="Arial"/>
                <w:szCs w:val="14"/>
                <w:lang w:val="en-GB"/>
              </w:rPr>
            </w:pPr>
            <w:r>
              <w:rPr>
                <w:rFonts w:ascii="Arial" w:hAnsi="Arial" w:cs="Arial"/>
                <w:szCs w:val="14"/>
                <w:lang w:val="en-GB"/>
              </w:rPr>
              <w:t>Subscription</w:t>
            </w:r>
            <w:r w:rsidRPr="0087740E">
              <w:rPr>
                <w:rFonts w:ascii="Arial" w:hAnsi="Arial" w:cs="Arial"/>
                <w:szCs w:val="14"/>
                <w:lang w:val="en-GB"/>
              </w:rPr>
              <w:t xml:space="preserve"> Price</w:t>
            </w:r>
            <w:r>
              <w:rPr>
                <w:rFonts w:ascii="Arial" w:hAnsi="Arial" w:cs="Arial"/>
                <w:szCs w:val="14"/>
                <w:lang w:val="en-GB"/>
              </w:rPr>
              <w:t xml:space="preserve"> per New Ordinary Share</w:t>
            </w:r>
          </w:p>
        </w:tc>
        <w:tc>
          <w:tcPr>
            <w:tcW w:w="1701" w:type="dxa"/>
          </w:tcPr>
          <w:p w14:paraId="451FD315" w14:textId="77777777" w:rsidR="00876139" w:rsidRDefault="00876139" w:rsidP="003821ED">
            <w:pPr>
              <w:pStyle w:val="BodyText"/>
              <w:tabs>
                <w:tab w:val="left" w:pos="360"/>
              </w:tabs>
              <w:spacing w:before="240" w:line="276" w:lineRule="auto"/>
              <w:jc w:val="right"/>
              <w:rPr>
                <w:rFonts w:ascii="Arial" w:hAnsi="Arial" w:cs="Arial"/>
                <w:szCs w:val="14"/>
                <w:lang w:val="en-GB"/>
              </w:rPr>
            </w:pPr>
            <w:r>
              <w:rPr>
                <w:rFonts w:ascii="Arial" w:hAnsi="Arial" w:cs="Arial"/>
                <w:szCs w:val="14"/>
                <w:lang w:val="en-GB"/>
              </w:rPr>
              <w:t>£</w:t>
            </w:r>
            <w:r>
              <w:rPr>
                <w:rFonts w:ascii="Arial" w:hAnsi="Arial" w:cs="Arial"/>
              </w:rPr>
              <w:t>0.0003</w:t>
            </w:r>
          </w:p>
        </w:tc>
      </w:tr>
      <w:tr w:rsidR="00876139" w14:paraId="4761B4FA" w14:textId="77777777" w:rsidTr="003821ED">
        <w:tc>
          <w:tcPr>
            <w:tcW w:w="7371" w:type="dxa"/>
          </w:tcPr>
          <w:p w14:paraId="03D3A104" w14:textId="77777777" w:rsidR="00876139" w:rsidRDefault="00876139" w:rsidP="003821ED">
            <w:pPr>
              <w:pStyle w:val="BodyText"/>
              <w:tabs>
                <w:tab w:val="left" w:pos="360"/>
              </w:tabs>
              <w:spacing w:before="240" w:line="276" w:lineRule="auto"/>
              <w:rPr>
                <w:rFonts w:ascii="Arial" w:hAnsi="Arial" w:cs="Arial"/>
                <w:szCs w:val="14"/>
                <w:lang w:val="en-GB"/>
              </w:rPr>
            </w:pPr>
            <w:r w:rsidRPr="0087740E">
              <w:rPr>
                <w:rFonts w:ascii="Arial" w:hAnsi="Arial" w:cs="Arial"/>
                <w:szCs w:val="14"/>
                <w:lang w:val="en-GB"/>
              </w:rPr>
              <w:t xml:space="preserve">Number of </w:t>
            </w:r>
            <w:r>
              <w:rPr>
                <w:rFonts w:ascii="Arial" w:hAnsi="Arial" w:cs="Arial"/>
                <w:szCs w:val="14"/>
                <w:lang w:val="en-GB"/>
              </w:rPr>
              <w:t xml:space="preserve">Existing </w:t>
            </w:r>
            <w:r w:rsidRPr="0087740E">
              <w:rPr>
                <w:rFonts w:ascii="Arial" w:hAnsi="Arial" w:cs="Arial"/>
                <w:szCs w:val="14"/>
                <w:lang w:val="en-GB"/>
              </w:rPr>
              <w:t>Ordinary Shares in issue</w:t>
            </w:r>
          </w:p>
        </w:tc>
        <w:tc>
          <w:tcPr>
            <w:tcW w:w="1701" w:type="dxa"/>
          </w:tcPr>
          <w:p w14:paraId="68D4D0F8" w14:textId="77777777" w:rsidR="00876139" w:rsidRDefault="00876139" w:rsidP="003821ED">
            <w:pPr>
              <w:pStyle w:val="BodyText"/>
              <w:tabs>
                <w:tab w:val="left" w:pos="360"/>
              </w:tabs>
              <w:spacing w:before="240" w:line="276" w:lineRule="auto"/>
              <w:jc w:val="right"/>
              <w:rPr>
                <w:rFonts w:ascii="Arial" w:hAnsi="Arial" w:cs="Arial"/>
                <w:szCs w:val="14"/>
                <w:lang w:val="en-GB"/>
              </w:rPr>
            </w:pPr>
            <w:r w:rsidRPr="005D2610">
              <w:rPr>
                <w:rFonts w:ascii="Arial" w:hAnsi="Arial" w:cs="Arial"/>
                <w:szCs w:val="14"/>
                <w:lang w:val="en-GB"/>
              </w:rPr>
              <w:t>1,</w:t>
            </w:r>
            <w:r>
              <w:rPr>
                <w:rFonts w:ascii="Arial" w:hAnsi="Arial" w:cs="Arial"/>
                <w:szCs w:val="14"/>
                <w:lang w:val="en-GB"/>
              </w:rPr>
              <w:t>564</w:t>
            </w:r>
            <w:r w:rsidRPr="005D2610">
              <w:rPr>
                <w:rFonts w:ascii="Arial" w:hAnsi="Arial" w:cs="Arial"/>
                <w:szCs w:val="14"/>
                <w:lang w:val="en-GB"/>
              </w:rPr>
              <w:t>,</w:t>
            </w:r>
            <w:r>
              <w:rPr>
                <w:rFonts w:ascii="Arial" w:hAnsi="Arial" w:cs="Arial"/>
                <w:szCs w:val="14"/>
                <w:lang w:val="en-GB"/>
              </w:rPr>
              <w:t>315,462</w:t>
            </w:r>
          </w:p>
        </w:tc>
      </w:tr>
      <w:tr w:rsidR="00876139" w14:paraId="471B00B0" w14:textId="77777777" w:rsidTr="003821ED">
        <w:tc>
          <w:tcPr>
            <w:tcW w:w="7371" w:type="dxa"/>
          </w:tcPr>
          <w:p w14:paraId="0A68B078" w14:textId="77777777" w:rsidR="00876139" w:rsidRDefault="00876139" w:rsidP="003821ED">
            <w:pPr>
              <w:pStyle w:val="BodyText"/>
              <w:tabs>
                <w:tab w:val="left" w:pos="360"/>
              </w:tabs>
              <w:spacing w:before="240" w:line="276" w:lineRule="auto"/>
              <w:rPr>
                <w:rFonts w:ascii="Arial" w:hAnsi="Arial" w:cs="Arial"/>
                <w:szCs w:val="14"/>
                <w:lang w:val="en-GB"/>
              </w:rPr>
            </w:pPr>
            <w:r w:rsidRPr="0087740E">
              <w:rPr>
                <w:rFonts w:ascii="Arial" w:hAnsi="Arial" w:cs="Arial"/>
                <w:szCs w:val="14"/>
                <w:lang w:val="en-GB"/>
              </w:rPr>
              <w:t xml:space="preserve">Number of </w:t>
            </w:r>
            <w:r>
              <w:rPr>
                <w:rFonts w:ascii="Arial" w:hAnsi="Arial" w:cs="Arial"/>
                <w:szCs w:val="14"/>
                <w:lang w:val="en-GB"/>
              </w:rPr>
              <w:t>New Ordinary</w:t>
            </w:r>
            <w:r w:rsidRPr="0087740E">
              <w:rPr>
                <w:rFonts w:ascii="Arial" w:hAnsi="Arial" w:cs="Arial"/>
                <w:szCs w:val="14"/>
                <w:lang w:val="en-GB"/>
              </w:rPr>
              <w:t xml:space="preserve"> Shares</w:t>
            </w:r>
            <w:r>
              <w:rPr>
                <w:rFonts w:ascii="Arial" w:hAnsi="Arial" w:cs="Arial"/>
                <w:szCs w:val="14"/>
                <w:lang w:val="en-GB"/>
              </w:rPr>
              <w:t xml:space="preserve"> being issued</w:t>
            </w:r>
          </w:p>
        </w:tc>
        <w:tc>
          <w:tcPr>
            <w:tcW w:w="1701" w:type="dxa"/>
          </w:tcPr>
          <w:p w14:paraId="6D46904E" w14:textId="77777777" w:rsidR="00876139" w:rsidRDefault="00876139" w:rsidP="003821ED">
            <w:pPr>
              <w:pStyle w:val="BodyText"/>
              <w:tabs>
                <w:tab w:val="left" w:pos="360"/>
              </w:tabs>
              <w:spacing w:before="240" w:line="276" w:lineRule="auto"/>
              <w:jc w:val="right"/>
              <w:rPr>
                <w:rFonts w:ascii="Arial" w:hAnsi="Arial" w:cs="Arial"/>
                <w:szCs w:val="14"/>
                <w:lang w:val="en-GB"/>
              </w:rPr>
            </w:pPr>
            <w:bookmarkStart w:id="2" w:name="_Hlk106711639"/>
            <w:r>
              <w:rPr>
                <w:rFonts w:ascii="Arial" w:hAnsi="Arial" w:cs="Arial"/>
              </w:rPr>
              <w:t>55,572,222,221</w:t>
            </w:r>
            <w:bookmarkEnd w:id="2"/>
          </w:p>
        </w:tc>
      </w:tr>
      <w:tr w:rsidR="00876139" w14:paraId="30BD1898" w14:textId="77777777" w:rsidTr="003821ED">
        <w:tc>
          <w:tcPr>
            <w:tcW w:w="7371" w:type="dxa"/>
          </w:tcPr>
          <w:p w14:paraId="71F63F9E" w14:textId="77777777" w:rsidR="00876139" w:rsidRDefault="00876139" w:rsidP="003821ED">
            <w:pPr>
              <w:pStyle w:val="BodyText"/>
              <w:tabs>
                <w:tab w:val="left" w:pos="360"/>
              </w:tabs>
              <w:spacing w:before="240" w:line="276" w:lineRule="auto"/>
              <w:rPr>
                <w:rFonts w:ascii="Arial" w:hAnsi="Arial" w:cs="Arial"/>
                <w:szCs w:val="14"/>
                <w:lang w:val="en-GB"/>
              </w:rPr>
            </w:pPr>
            <w:r w:rsidRPr="0087740E">
              <w:rPr>
                <w:rFonts w:ascii="Arial" w:hAnsi="Arial" w:cs="Arial"/>
                <w:szCs w:val="14"/>
                <w:lang w:val="en-GB"/>
              </w:rPr>
              <w:t>Enlarged Share Capital</w:t>
            </w:r>
            <w:r>
              <w:rPr>
                <w:rFonts w:ascii="Arial" w:hAnsi="Arial" w:cs="Arial"/>
                <w:szCs w:val="14"/>
                <w:lang w:val="en-GB"/>
              </w:rPr>
              <w:t>*</w:t>
            </w:r>
          </w:p>
        </w:tc>
        <w:tc>
          <w:tcPr>
            <w:tcW w:w="1701" w:type="dxa"/>
          </w:tcPr>
          <w:p w14:paraId="0EF38EE1" w14:textId="77777777" w:rsidR="00876139" w:rsidRDefault="00876139" w:rsidP="003821ED">
            <w:pPr>
              <w:pStyle w:val="BodyText"/>
              <w:tabs>
                <w:tab w:val="left" w:pos="360"/>
              </w:tabs>
              <w:spacing w:before="240" w:line="276" w:lineRule="auto"/>
              <w:jc w:val="right"/>
              <w:rPr>
                <w:rFonts w:ascii="Arial" w:hAnsi="Arial" w:cs="Arial"/>
                <w:szCs w:val="14"/>
                <w:lang w:val="en-GB"/>
              </w:rPr>
            </w:pPr>
            <w:r>
              <w:rPr>
                <w:rFonts w:ascii="Arial" w:hAnsi="Arial" w:cs="Arial"/>
              </w:rPr>
              <w:t>57,136,537,683</w:t>
            </w:r>
          </w:p>
        </w:tc>
      </w:tr>
      <w:tr w:rsidR="00876139" w14:paraId="0C27F8F1" w14:textId="77777777" w:rsidTr="003821ED">
        <w:tc>
          <w:tcPr>
            <w:tcW w:w="7371" w:type="dxa"/>
          </w:tcPr>
          <w:p w14:paraId="6165444D" w14:textId="77777777" w:rsidR="00876139" w:rsidRDefault="00876139" w:rsidP="003821ED">
            <w:pPr>
              <w:pStyle w:val="BodyText"/>
              <w:tabs>
                <w:tab w:val="left" w:pos="360"/>
              </w:tabs>
              <w:spacing w:before="240" w:line="276" w:lineRule="auto"/>
              <w:rPr>
                <w:rFonts w:ascii="Arial" w:hAnsi="Arial" w:cs="Arial"/>
                <w:szCs w:val="14"/>
                <w:lang w:val="en-GB"/>
              </w:rPr>
            </w:pPr>
            <w:r w:rsidRPr="0087740E">
              <w:rPr>
                <w:rFonts w:ascii="Arial" w:hAnsi="Arial" w:cs="Arial"/>
                <w:szCs w:val="14"/>
                <w:lang w:val="en-GB"/>
              </w:rPr>
              <w:t xml:space="preserve">Number of New Ordinary Shares as a percentage of the </w:t>
            </w:r>
            <w:r>
              <w:rPr>
                <w:rFonts w:ascii="Arial" w:hAnsi="Arial" w:cs="Arial"/>
                <w:szCs w:val="14"/>
                <w:lang w:val="en-GB"/>
              </w:rPr>
              <w:t>Enlarged Share Capital</w:t>
            </w:r>
          </w:p>
        </w:tc>
        <w:tc>
          <w:tcPr>
            <w:tcW w:w="1701" w:type="dxa"/>
          </w:tcPr>
          <w:p w14:paraId="04FA29F3" w14:textId="77777777" w:rsidR="00876139" w:rsidRDefault="00876139" w:rsidP="003821ED">
            <w:pPr>
              <w:pStyle w:val="BodyText"/>
              <w:tabs>
                <w:tab w:val="left" w:pos="360"/>
              </w:tabs>
              <w:spacing w:before="240" w:line="276" w:lineRule="auto"/>
              <w:jc w:val="right"/>
              <w:rPr>
                <w:rFonts w:ascii="Arial" w:hAnsi="Arial" w:cs="Arial"/>
                <w:szCs w:val="14"/>
                <w:lang w:val="en-GB"/>
              </w:rPr>
            </w:pPr>
            <w:r>
              <w:rPr>
                <w:rFonts w:ascii="Arial" w:hAnsi="Arial" w:cs="Arial"/>
              </w:rPr>
              <w:t>97.26</w:t>
            </w:r>
            <w:r>
              <w:rPr>
                <w:rFonts w:ascii="Arial" w:hAnsi="Arial" w:cs="Arial"/>
                <w:lang w:val="en-GB"/>
              </w:rPr>
              <w:t xml:space="preserve"> </w:t>
            </w:r>
            <w:r>
              <w:rPr>
                <w:rFonts w:ascii="Arial" w:hAnsi="Arial" w:cs="Arial"/>
                <w:bCs/>
                <w:lang w:val="en-GB"/>
              </w:rPr>
              <w:t>per cent.</w:t>
            </w:r>
          </w:p>
        </w:tc>
      </w:tr>
      <w:tr w:rsidR="00876139" w14:paraId="762206F4" w14:textId="77777777" w:rsidTr="003821ED">
        <w:tc>
          <w:tcPr>
            <w:tcW w:w="7371" w:type="dxa"/>
          </w:tcPr>
          <w:p w14:paraId="7485E8B9" w14:textId="77777777" w:rsidR="00876139" w:rsidRPr="0087740E" w:rsidRDefault="00876139" w:rsidP="003821ED">
            <w:pPr>
              <w:pStyle w:val="BodyText"/>
              <w:tabs>
                <w:tab w:val="left" w:pos="360"/>
              </w:tabs>
              <w:spacing w:before="240" w:line="276" w:lineRule="auto"/>
              <w:rPr>
                <w:rFonts w:ascii="Arial" w:hAnsi="Arial" w:cs="Arial"/>
                <w:szCs w:val="14"/>
                <w:lang w:val="en-GB"/>
              </w:rPr>
            </w:pPr>
            <w:r w:rsidRPr="0087740E">
              <w:rPr>
                <w:rFonts w:ascii="Arial" w:hAnsi="Arial" w:cs="Arial"/>
                <w:szCs w:val="14"/>
                <w:lang w:val="en-GB"/>
              </w:rPr>
              <w:t xml:space="preserve">Gross </w:t>
            </w:r>
            <w:r>
              <w:rPr>
                <w:rFonts w:ascii="Arial" w:hAnsi="Arial" w:cs="Arial"/>
                <w:szCs w:val="14"/>
                <w:lang w:val="en-GB"/>
              </w:rPr>
              <w:t>value of the Investment and Conversions</w:t>
            </w:r>
            <w:r>
              <w:rPr>
                <w:rFonts w:ascii="Arial" w:hAnsi="Arial" w:cs="Arial"/>
                <w:szCs w:val="14"/>
                <w:vertAlign w:val="superscript"/>
                <w:lang w:val="en-GB"/>
              </w:rPr>
              <w:t>†</w:t>
            </w:r>
          </w:p>
        </w:tc>
        <w:tc>
          <w:tcPr>
            <w:tcW w:w="1701" w:type="dxa"/>
          </w:tcPr>
          <w:p w14:paraId="503E03BB" w14:textId="77777777" w:rsidR="00876139" w:rsidRDefault="00876139" w:rsidP="003821ED">
            <w:pPr>
              <w:pStyle w:val="BodyText"/>
              <w:tabs>
                <w:tab w:val="left" w:pos="360"/>
              </w:tabs>
              <w:spacing w:before="240" w:line="276" w:lineRule="auto"/>
              <w:jc w:val="right"/>
              <w:rPr>
                <w:rFonts w:ascii="Arial" w:hAnsi="Arial" w:cs="Arial"/>
              </w:rPr>
            </w:pPr>
            <w:r>
              <w:rPr>
                <w:rFonts w:ascii="Arial" w:hAnsi="Arial" w:cs="Arial"/>
                <w:szCs w:val="14"/>
                <w:lang w:val="en-GB"/>
              </w:rPr>
              <w:t>€</w:t>
            </w:r>
            <w:r>
              <w:rPr>
                <w:rFonts w:ascii="Arial" w:hAnsi="Arial" w:cs="Arial"/>
              </w:rPr>
              <w:t>19,500,000</w:t>
            </w:r>
          </w:p>
        </w:tc>
      </w:tr>
    </w:tbl>
    <w:p w14:paraId="1271BFAC" w14:textId="77777777" w:rsidR="00876139" w:rsidRDefault="00876139" w:rsidP="00876139">
      <w:pPr>
        <w:pStyle w:val="BodyText"/>
        <w:tabs>
          <w:tab w:val="left" w:pos="360"/>
        </w:tabs>
        <w:spacing w:before="120" w:line="276" w:lineRule="auto"/>
        <w:rPr>
          <w:rFonts w:ascii="Arial" w:hAnsi="Arial" w:cs="Arial"/>
          <w:sz w:val="14"/>
          <w:szCs w:val="14"/>
          <w:lang w:val="en-GB"/>
        </w:rPr>
      </w:pPr>
    </w:p>
    <w:p w14:paraId="30D2D4DE" w14:textId="09C0F80F" w:rsidR="00876139" w:rsidRDefault="00876139" w:rsidP="00876139">
      <w:pPr>
        <w:pStyle w:val="BodyText"/>
        <w:tabs>
          <w:tab w:val="left" w:pos="360"/>
        </w:tabs>
        <w:spacing w:before="120" w:line="276" w:lineRule="auto"/>
        <w:rPr>
          <w:rFonts w:ascii="Arial" w:hAnsi="Arial" w:cs="Arial"/>
          <w:sz w:val="14"/>
          <w:szCs w:val="14"/>
          <w:lang w:val="en-GB"/>
        </w:rPr>
      </w:pPr>
      <w:r>
        <w:rPr>
          <w:rFonts w:ascii="Arial" w:hAnsi="Arial" w:cs="Arial"/>
          <w:sz w:val="14"/>
          <w:szCs w:val="14"/>
          <w:lang w:val="en-GB"/>
        </w:rPr>
        <w:t xml:space="preserve">* Assumes no further issuances of Ordinary Shares other than as outlined in </w:t>
      </w:r>
      <w:r w:rsidR="009079A1">
        <w:rPr>
          <w:rFonts w:ascii="Arial" w:hAnsi="Arial" w:cs="Arial"/>
          <w:sz w:val="14"/>
          <w:szCs w:val="14"/>
          <w:lang w:val="en-GB"/>
        </w:rPr>
        <w:t>the</w:t>
      </w:r>
      <w:r>
        <w:rPr>
          <w:rFonts w:ascii="Arial" w:hAnsi="Arial" w:cs="Arial"/>
          <w:sz w:val="14"/>
          <w:szCs w:val="14"/>
          <w:lang w:val="en-GB"/>
        </w:rPr>
        <w:t xml:space="preserve"> Document and excluding the exercise of any Warrants.</w:t>
      </w:r>
    </w:p>
    <w:p w14:paraId="233D2902" w14:textId="77777777" w:rsidR="00876139" w:rsidRPr="00585BDF" w:rsidRDefault="00876139" w:rsidP="00876139">
      <w:pPr>
        <w:pStyle w:val="BodyText"/>
        <w:tabs>
          <w:tab w:val="left" w:pos="360"/>
        </w:tabs>
        <w:spacing w:before="120" w:line="276" w:lineRule="auto"/>
        <w:rPr>
          <w:rFonts w:ascii="Arial" w:hAnsi="Arial" w:cs="Arial"/>
          <w:sz w:val="14"/>
          <w:szCs w:val="14"/>
          <w:lang w:val="en-GB"/>
        </w:rPr>
      </w:pPr>
      <w:r w:rsidRPr="00877187">
        <w:rPr>
          <w:rFonts w:ascii="Arial" w:hAnsi="Arial" w:cs="Arial"/>
          <w:sz w:val="14"/>
          <w:szCs w:val="14"/>
          <w:lang w:val="en-GB"/>
        </w:rPr>
        <w:t xml:space="preserve">† For the convenience of the reader, the gross proceeds of the </w:t>
      </w:r>
      <w:r>
        <w:rPr>
          <w:rFonts w:ascii="Arial" w:hAnsi="Arial" w:cs="Arial"/>
          <w:sz w:val="14"/>
          <w:szCs w:val="14"/>
          <w:lang w:val="en-GB"/>
        </w:rPr>
        <w:t>Investment</w:t>
      </w:r>
      <w:r w:rsidRPr="00877187">
        <w:rPr>
          <w:rFonts w:ascii="Arial" w:hAnsi="Arial" w:cs="Arial"/>
          <w:sz w:val="14"/>
          <w:szCs w:val="14"/>
          <w:lang w:val="en-GB"/>
        </w:rPr>
        <w:t xml:space="preserve"> </w:t>
      </w:r>
      <w:r>
        <w:rPr>
          <w:rFonts w:ascii="Arial" w:hAnsi="Arial" w:cs="Arial"/>
          <w:sz w:val="14"/>
          <w:szCs w:val="14"/>
          <w:lang w:val="en-GB"/>
        </w:rPr>
        <w:t xml:space="preserve">and the Conversions </w:t>
      </w:r>
      <w:r w:rsidRPr="00877187">
        <w:rPr>
          <w:rFonts w:ascii="Arial" w:hAnsi="Arial" w:cs="Arial"/>
          <w:sz w:val="14"/>
          <w:szCs w:val="14"/>
          <w:lang w:val="en-GB"/>
        </w:rPr>
        <w:t xml:space="preserve">translated into Great British pounds </w:t>
      </w:r>
      <w:r>
        <w:rPr>
          <w:rFonts w:ascii="Arial" w:hAnsi="Arial" w:cs="Arial"/>
          <w:sz w:val="14"/>
          <w:szCs w:val="14"/>
          <w:lang w:val="en-GB"/>
        </w:rPr>
        <w:t>is</w:t>
      </w:r>
      <w:r w:rsidRPr="00877187">
        <w:rPr>
          <w:rFonts w:ascii="Arial" w:hAnsi="Arial" w:cs="Arial"/>
          <w:sz w:val="14"/>
          <w:szCs w:val="14"/>
          <w:lang w:val="en-GB"/>
        </w:rPr>
        <w:t xml:space="preserve"> £</w:t>
      </w:r>
      <w:r>
        <w:rPr>
          <w:rFonts w:ascii="Arial" w:hAnsi="Arial" w:cs="Arial"/>
          <w:sz w:val="14"/>
          <w:szCs w:val="14"/>
          <w:lang w:val="en-GB"/>
        </w:rPr>
        <w:t>16,666,667</w:t>
      </w:r>
      <w:r w:rsidRPr="00877187">
        <w:rPr>
          <w:rFonts w:ascii="Arial" w:hAnsi="Arial" w:cs="Arial"/>
          <w:sz w:val="14"/>
          <w:szCs w:val="14"/>
          <w:lang w:val="en-GB"/>
        </w:rPr>
        <w:t xml:space="preserve"> using an exchange rate of </w:t>
      </w:r>
      <w:r>
        <w:rPr>
          <w:rFonts w:ascii="Arial" w:hAnsi="Arial" w:cs="Arial"/>
          <w:sz w:val="14"/>
          <w:szCs w:val="14"/>
          <w:lang w:val="en-GB"/>
        </w:rPr>
        <w:t>€</w:t>
      </w:r>
      <w:r w:rsidRPr="007821E9">
        <w:rPr>
          <w:rFonts w:ascii="Arial" w:hAnsi="Arial" w:cs="Arial"/>
          <w:sz w:val="14"/>
          <w:szCs w:val="14"/>
          <w:lang w:val="en-GB"/>
        </w:rPr>
        <w:t>1.17</w:t>
      </w:r>
      <w:r w:rsidRPr="00877187">
        <w:rPr>
          <w:rFonts w:ascii="Arial" w:hAnsi="Arial" w:cs="Arial"/>
          <w:sz w:val="14"/>
          <w:szCs w:val="14"/>
          <w:lang w:val="en-GB"/>
        </w:rPr>
        <w:t xml:space="preserve"> to £1.00.</w:t>
      </w:r>
    </w:p>
    <w:p w14:paraId="51C1DC49" w14:textId="77777777" w:rsidR="00876139" w:rsidRDefault="00876139" w:rsidP="00E07E4B">
      <w:pPr>
        <w:jc w:val="center"/>
        <w:rPr>
          <w:b/>
          <w:bCs/>
        </w:rPr>
      </w:pPr>
    </w:p>
    <w:p w14:paraId="497BE681" w14:textId="77777777" w:rsidR="00876139" w:rsidRDefault="00876139" w:rsidP="00E07E4B">
      <w:pPr>
        <w:jc w:val="center"/>
        <w:rPr>
          <w:b/>
          <w:bCs/>
        </w:rPr>
      </w:pPr>
    </w:p>
    <w:p w14:paraId="4B783FA4" w14:textId="11ADC095" w:rsidR="00E07E4B" w:rsidRPr="00E07E4B" w:rsidRDefault="00E07E4B" w:rsidP="00E07E4B">
      <w:pPr>
        <w:jc w:val="center"/>
        <w:rPr>
          <w:b/>
          <w:bCs/>
        </w:rPr>
      </w:pPr>
      <w:r w:rsidRPr="00E07E4B">
        <w:rPr>
          <w:b/>
          <w:bCs/>
        </w:rPr>
        <w:t>EXPECTED TIMETABLE OF PRINCIPAL EVENTS</w:t>
      </w:r>
    </w:p>
    <w:p w14:paraId="5F2E5BCE" w14:textId="77777777" w:rsidR="00E07E4B" w:rsidRPr="00585BDF" w:rsidRDefault="00E07E4B" w:rsidP="00E07E4B">
      <w:pPr>
        <w:pStyle w:val="BodyText"/>
        <w:spacing w:before="240" w:line="276" w:lineRule="auto"/>
        <w:jc w:val="right"/>
        <w:rPr>
          <w:rFonts w:ascii="Arial" w:hAnsi="Arial" w:cs="Arial"/>
          <w:i/>
          <w:lang w:val="en-GB"/>
        </w:rPr>
      </w:pPr>
      <w:r>
        <w:rPr>
          <w:rFonts w:ascii="Arial" w:hAnsi="Arial" w:cs="Arial"/>
          <w:lang w:val="en-GB"/>
        </w:rPr>
        <w:t>2022</w:t>
      </w:r>
    </w:p>
    <w:p w14:paraId="1084D6E3" w14:textId="79981F1A" w:rsidR="00E07E4B" w:rsidRDefault="00E07E4B" w:rsidP="00E07E4B">
      <w:pPr>
        <w:pStyle w:val="BodyText"/>
        <w:tabs>
          <w:tab w:val="right" w:pos="9360"/>
        </w:tabs>
        <w:spacing w:before="240" w:line="276" w:lineRule="auto"/>
        <w:rPr>
          <w:rFonts w:ascii="Arial" w:hAnsi="Arial" w:cs="Arial"/>
          <w:lang w:val="en-GB"/>
        </w:rPr>
      </w:pPr>
      <w:r>
        <w:rPr>
          <w:rFonts w:ascii="Arial" w:hAnsi="Arial" w:cs="Arial"/>
          <w:lang w:val="en-GB"/>
        </w:rPr>
        <w:t>Announcement of the Investment</w:t>
      </w:r>
      <w:r>
        <w:rPr>
          <w:rFonts w:ascii="Arial" w:hAnsi="Arial" w:cs="Arial"/>
          <w:lang w:val="en-GB"/>
        </w:rPr>
        <w:tab/>
      </w:r>
      <w:r w:rsidR="002F0F64">
        <w:rPr>
          <w:rFonts w:ascii="Arial" w:hAnsi="Arial" w:cs="Arial"/>
          <w:lang w:val="en-GB"/>
        </w:rPr>
        <w:t>5 July 2022</w:t>
      </w:r>
      <w:r>
        <w:rPr>
          <w:rFonts w:ascii="Arial" w:hAnsi="Arial" w:cs="Arial"/>
          <w:lang w:val="en-GB"/>
        </w:rPr>
        <w:t xml:space="preserve"> </w:t>
      </w:r>
    </w:p>
    <w:p w14:paraId="53348F44" w14:textId="4863D724" w:rsidR="00E07E4B" w:rsidRPr="00585BDF" w:rsidRDefault="00E07E4B" w:rsidP="00E07E4B">
      <w:pPr>
        <w:pStyle w:val="BodyText"/>
        <w:tabs>
          <w:tab w:val="right" w:pos="9360"/>
        </w:tabs>
        <w:spacing w:before="240" w:line="276" w:lineRule="auto"/>
        <w:rPr>
          <w:rFonts w:ascii="Arial" w:hAnsi="Arial" w:cs="Arial"/>
          <w:lang w:val="en-GB"/>
        </w:rPr>
      </w:pPr>
      <w:r>
        <w:rPr>
          <w:rFonts w:ascii="Arial" w:hAnsi="Arial" w:cs="Arial"/>
          <w:lang w:val="en-GB"/>
        </w:rPr>
        <w:t>Publication</w:t>
      </w:r>
      <w:r w:rsidRPr="00585BDF">
        <w:rPr>
          <w:rFonts w:ascii="Arial" w:hAnsi="Arial" w:cs="Arial"/>
          <w:lang w:val="en-GB"/>
        </w:rPr>
        <w:t xml:space="preserve"> of </w:t>
      </w:r>
      <w:r w:rsidR="009079A1">
        <w:rPr>
          <w:rFonts w:ascii="Arial" w:hAnsi="Arial" w:cs="Arial"/>
          <w:lang w:val="en-GB"/>
        </w:rPr>
        <w:t>the</w:t>
      </w:r>
      <w:r w:rsidRPr="00585BDF">
        <w:rPr>
          <w:rFonts w:ascii="Arial" w:hAnsi="Arial" w:cs="Arial"/>
          <w:lang w:val="en-GB"/>
        </w:rPr>
        <w:t xml:space="preserve"> Document and the Form of Proxy </w:t>
      </w:r>
      <w:r w:rsidRPr="00585BDF">
        <w:rPr>
          <w:rFonts w:ascii="Arial" w:hAnsi="Arial" w:cs="Arial"/>
          <w:lang w:val="en-GB"/>
        </w:rPr>
        <w:tab/>
      </w:r>
      <w:r w:rsidR="002F0F64">
        <w:rPr>
          <w:rFonts w:ascii="Arial" w:hAnsi="Arial" w:cs="Arial"/>
          <w:lang w:val="en-GB"/>
        </w:rPr>
        <w:t>5 July 2022</w:t>
      </w:r>
    </w:p>
    <w:p w14:paraId="22690483" w14:textId="54D81146" w:rsidR="00E07E4B" w:rsidRPr="00585BDF" w:rsidRDefault="00E07E4B" w:rsidP="00E07E4B">
      <w:pPr>
        <w:pStyle w:val="BodyText"/>
        <w:tabs>
          <w:tab w:val="right" w:pos="9360"/>
        </w:tabs>
        <w:spacing w:before="240" w:line="276" w:lineRule="auto"/>
        <w:rPr>
          <w:rFonts w:ascii="Arial" w:hAnsi="Arial" w:cs="Arial"/>
          <w:lang w:val="en-GB"/>
        </w:rPr>
      </w:pPr>
      <w:r w:rsidRPr="00585BDF">
        <w:rPr>
          <w:rFonts w:ascii="Arial" w:hAnsi="Arial" w:cs="Arial"/>
          <w:lang w:val="en-GB"/>
        </w:rPr>
        <w:t>Latest time and date for receipt of the Form of Proxy</w:t>
      </w:r>
      <w:r w:rsidRPr="00585BDF">
        <w:rPr>
          <w:rFonts w:ascii="Arial" w:hAnsi="Arial" w:cs="Arial"/>
          <w:lang w:val="en-GB"/>
        </w:rPr>
        <w:tab/>
      </w:r>
      <w:r>
        <w:rPr>
          <w:rFonts w:ascii="Arial" w:hAnsi="Arial" w:cs="Arial"/>
          <w:lang w:val="en-GB"/>
        </w:rPr>
        <w:t>11:00</w:t>
      </w:r>
      <w:r w:rsidRPr="00585BDF">
        <w:rPr>
          <w:rFonts w:ascii="Arial" w:hAnsi="Arial" w:cs="Arial"/>
          <w:lang w:val="en-GB"/>
        </w:rPr>
        <w:t xml:space="preserve"> a.m. on </w:t>
      </w:r>
      <w:r w:rsidR="002F0F64">
        <w:rPr>
          <w:rFonts w:ascii="Arial" w:hAnsi="Arial" w:cs="Arial"/>
          <w:lang w:val="en-GB"/>
        </w:rPr>
        <w:t>19 July</w:t>
      </w:r>
      <w:r>
        <w:rPr>
          <w:rFonts w:ascii="Arial" w:hAnsi="Arial" w:cs="Arial"/>
          <w:lang w:val="en-GB"/>
        </w:rPr>
        <w:t xml:space="preserve"> </w:t>
      </w:r>
    </w:p>
    <w:p w14:paraId="31DEE324" w14:textId="432EE74D" w:rsidR="00E07E4B" w:rsidRDefault="00E07E4B" w:rsidP="00E07E4B">
      <w:pPr>
        <w:pStyle w:val="BodyText"/>
        <w:tabs>
          <w:tab w:val="right" w:pos="9360"/>
        </w:tabs>
        <w:spacing w:before="240" w:line="276" w:lineRule="auto"/>
        <w:rPr>
          <w:rFonts w:ascii="Arial" w:hAnsi="Arial" w:cs="Arial"/>
          <w:lang w:val="en-GB"/>
        </w:rPr>
      </w:pPr>
      <w:r w:rsidRPr="00585BDF">
        <w:rPr>
          <w:rFonts w:ascii="Arial" w:hAnsi="Arial" w:cs="Arial"/>
          <w:lang w:val="en-GB"/>
        </w:rPr>
        <w:t>General Meeting</w:t>
      </w:r>
      <w:r w:rsidRPr="00585BDF">
        <w:rPr>
          <w:rFonts w:ascii="Arial" w:hAnsi="Arial" w:cs="Arial"/>
          <w:lang w:val="en-GB"/>
        </w:rPr>
        <w:tab/>
      </w:r>
      <w:r>
        <w:rPr>
          <w:rFonts w:ascii="Arial" w:hAnsi="Arial" w:cs="Arial"/>
          <w:lang w:val="en-GB"/>
        </w:rPr>
        <w:t>11:00</w:t>
      </w:r>
      <w:r w:rsidRPr="00585BDF">
        <w:rPr>
          <w:rFonts w:ascii="Arial" w:hAnsi="Arial" w:cs="Arial"/>
          <w:lang w:val="en-GB"/>
        </w:rPr>
        <w:t xml:space="preserve"> a.m. on </w:t>
      </w:r>
      <w:r w:rsidR="002F0F64">
        <w:rPr>
          <w:rFonts w:ascii="Arial" w:hAnsi="Arial" w:cs="Arial"/>
          <w:lang w:val="en-GB"/>
        </w:rPr>
        <w:t>21 July</w:t>
      </w:r>
      <w:r>
        <w:rPr>
          <w:rFonts w:ascii="Arial" w:hAnsi="Arial" w:cs="Arial"/>
          <w:lang w:val="en-GB"/>
        </w:rPr>
        <w:t xml:space="preserve"> </w:t>
      </w:r>
    </w:p>
    <w:p w14:paraId="4EBCB5D7" w14:textId="4FC5E820" w:rsidR="00E07E4B" w:rsidRDefault="00E07E4B" w:rsidP="00E07E4B">
      <w:pPr>
        <w:pStyle w:val="BodyText"/>
        <w:tabs>
          <w:tab w:val="right" w:pos="9360"/>
        </w:tabs>
        <w:spacing w:before="240" w:line="276" w:lineRule="auto"/>
        <w:rPr>
          <w:rFonts w:ascii="Arial" w:hAnsi="Arial" w:cs="Arial"/>
          <w:lang w:val="en-GB"/>
        </w:rPr>
      </w:pPr>
      <w:r>
        <w:rPr>
          <w:rFonts w:ascii="Arial" w:hAnsi="Arial" w:cs="Arial"/>
          <w:lang w:val="en-GB"/>
        </w:rPr>
        <w:t xml:space="preserve">Result of General Meeting announced </w:t>
      </w:r>
      <w:r w:rsidRPr="008E657D">
        <w:rPr>
          <w:rFonts w:ascii="Arial" w:hAnsi="Arial" w:cs="Arial"/>
          <w:i/>
          <w:lang w:val="en-GB"/>
        </w:rPr>
        <w:t>via</w:t>
      </w:r>
      <w:r>
        <w:rPr>
          <w:rFonts w:ascii="Arial" w:hAnsi="Arial" w:cs="Arial"/>
          <w:lang w:val="en-GB"/>
        </w:rPr>
        <w:t xml:space="preserve"> RIS</w:t>
      </w:r>
      <w:r>
        <w:rPr>
          <w:rFonts w:ascii="Arial" w:hAnsi="Arial" w:cs="Arial"/>
          <w:lang w:val="en-GB"/>
        </w:rPr>
        <w:tab/>
      </w:r>
      <w:r w:rsidR="002F0F64">
        <w:rPr>
          <w:rFonts w:ascii="Arial" w:hAnsi="Arial" w:cs="Arial"/>
          <w:lang w:val="en-GB"/>
        </w:rPr>
        <w:t>following conclusion of General Meeting</w:t>
      </w:r>
    </w:p>
    <w:p w14:paraId="3898EA2C" w14:textId="77777777" w:rsidR="00E07E4B" w:rsidRDefault="00E07E4B" w:rsidP="00E07E4B">
      <w:pPr>
        <w:pStyle w:val="BodyText"/>
        <w:tabs>
          <w:tab w:val="right" w:pos="9360"/>
        </w:tabs>
        <w:spacing w:before="240" w:line="276" w:lineRule="auto"/>
        <w:rPr>
          <w:rFonts w:ascii="Arial" w:hAnsi="Arial" w:cs="Arial"/>
          <w:lang w:val="en-GB"/>
        </w:rPr>
      </w:pPr>
      <w:r>
        <w:rPr>
          <w:rFonts w:ascii="Arial" w:hAnsi="Arial" w:cs="Arial"/>
          <w:lang w:val="en-GB"/>
        </w:rPr>
        <w:t xml:space="preserve">Expected date for Admission and commencement of dealings in </w:t>
      </w:r>
    </w:p>
    <w:p w14:paraId="5D5C777E" w14:textId="001E0563" w:rsidR="00E07E4B" w:rsidRPr="0087740E" w:rsidRDefault="00E07E4B" w:rsidP="00E07E4B">
      <w:pPr>
        <w:pStyle w:val="BodyText"/>
        <w:tabs>
          <w:tab w:val="right" w:pos="9360"/>
        </w:tabs>
        <w:spacing w:line="276" w:lineRule="auto"/>
        <w:rPr>
          <w:rFonts w:ascii="Arial" w:hAnsi="Arial" w:cs="Arial"/>
          <w:b/>
          <w:lang w:val="en-GB"/>
        </w:rPr>
      </w:pPr>
      <w:r>
        <w:rPr>
          <w:rFonts w:ascii="Arial" w:hAnsi="Arial" w:cs="Arial"/>
          <w:lang w:val="en-GB"/>
        </w:rPr>
        <w:t>New Ordinary Shares on AQSE</w:t>
      </w:r>
      <w:r>
        <w:rPr>
          <w:rFonts w:ascii="Arial" w:hAnsi="Arial" w:cs="Arial"/>
          <w:lang w:val="en-GB"/>
        </w:rPr>
        <w:tab/>
      </w:r>
      <w:r w:rsidR="002F0F64">
        <w:rPr>
          <w:rFonts w:ascii="Arial" w:hAnsi="Arial" w:cs="Arial"/>
          <w:lang w:val="en-GB"/>
        </w:rPr>
        <w:t>22 July</w:t>
      </w:r>
    </w:p>
    <w:p w14:paraId="3F6110FD" w14:textId="77777777" w:rsidR="00E07E4B" w:rsidRPr="00585BDF" w:rsidRDefault="00E07E4B" w:rsidP="00E07E4B">
      <w:pPr>
        <w:pStyle w:val="BodyText"/>
        <w:tabs>
          <w:tab w:val="right" w:pos="9360"/>
        </w:tabs>
        <w:spacing w:before="240" w:line="276" w:lineRule="auto"/>
        <w:rPr>
          <w:rFonts w:ascii="Arial" w:hAnsi="Arial" w:cs="Arial"/>
          <w:lang w:val="en-GB"/>
        </w:rPr>
      </w:pPr>
    </w:p>
    <w:p w14:paraId="09D58930" w14:textId="77777777" w:rsidR="00E07E4B" w:rsidRPr="00585BDF" w:rsidRDefault="00E07E4B" w:rsidP="00E07E4B">
      <w:pPr>
        <w:pStyle w:val="BodyText"/>
        <w:keepNext/>
        <w:spacing w:before="240" w:line="276" w:lineRule="auto"/>
        <w:rPr>
          <w:rFonts w:ascii="Arial" w:hAnsi="Arial" w:cs="Arial"/>
          <w:b/>
          <w:sz w:val="15"/>
          <w:szCs w:val="15"/>
          <w:lang w:val="en-GB"/>
        </w:rPr>
      </w:pPr>
      <w:r w:rsidRPr="00585BDF">
        <w:rPr>
          <w:rFonts w:ascii="Arial" w:hAnsi="Arial" w:cs="Arial"/>
          <w:b/>
          <w:sz w:val="15"/>
          <w:szCs w:val="15"/>
          <w:lang w:val="en-GB"/>
        </w:rPr>
        <w:t>Notes:</w:t>
      </w:r>
    </w:p>
    <w:p w14:paraId="5FFCB0A8" w14:textId="11A81270" w:rsidR="00E07E4B" w:rsidRDefault="00E07E4B" w:rsidP="00E07E4B">
      <w:pPr>
        <w:pStyle w:val="BodyText"/>
        <w:tabs>
          <w:tab w:val="left" w:pos="360"/>
        </w:tabs>
        <w:spacing w:before="120" w:line="276" w:lineRule="auto"/>
        <w:ind w:left="360" w:hanging="360"/>
        <w:rPr>
          <w:rFonts w:ascii="Arial" w:hAnsi="Arial" w:cs="Arial"/>
          <w:sz w:val="14"/>
          <w:szCs w:val="14"/>
          <w:lang w:val="en-GB"/>
        </w:rPr>
      </w:pPr>
      <w:r w:rsidRPr="00585BDF">
        <w:rPr>
          <w:rFonts w:ascii="Arial" w:hAnsi="Arial" w:cs="Arial"/>
          <w:sz w:val="14"/>
          <w:szCs w:val="14"/>
          <w:lang w:val="en-GB"/>
        </w:rPr>
        <w:t>(1)</w:t>
      </w:r>
      <w:r w:rsidRPr="00585BDF">
        <w:rPr>
          <w:rFonts w:ascii="Arial" w:hAnsi="Arial" w:cs="Arial"/>
          <w:sz w:val="14"/>
          <w:szCs w:val="14"/>
          <w:lang w:val="en-GB"/>
        </w:rPr>
        <w:tab/>
        <w:t xml:space="preserve">References to times in </w:t>
      </w:r>
      <w:r w:rsidR="009079A1">
        <w:rPr>
          <w:rFonts w:ascii="Arial" w:hAnsi="Arial" w:cs="Arial"/>
          <w:sz w:val="14"/>
          <w:szCs w:val="14"/>
          <w:lang w:val="en-GB"/>
        </w:rPr>
        <w:t>the</w:t>
      </w:r>
      <w:r w:rsidRPr="00585BDF">
        <w:rPr>
          <w:rFonts w:ascii="Arial" w:hAnsi="Arial" w:cs="Arial"/>
          <w:sz w:val="14"/>
          <w:szCs w:val="14"/>
          <w:lang w:val="en-GB"/>
        </w:rPr>
        <w:t xml:space="preserve"> Document are to </w:t>
      </w:r>
      <w:r w:rsidR="002F0F64">
        <w:rPr>
          <w:rFonts w:ascii="Arial" w:hAnsi="Arial" w:cs="Arial"/>
          <w:sz w:val="14"/>
          <w:szCs w:val="14"/>
          <w:lang w:val="en-GB"/>
        </w:rPr>
        <w:t>British Summer</w:t>
      </w:r>
      <w:r w:rsidRPr="00585BDF">
        <w:rPr>
          <w:rFonts w:ascii="Arial" w:hAnsi="Arial" w:cs="Arial"/>
          <w:sz w:val="14"/>
          <w:szCs w:val="14"/>
          <w:lang w:val="en-GB"/>
        </w:rPr>
        <w:t xml:space="preserve"> Time (unless otherwise stated).</w:t>
      </w:r>
    </w:p>
    <w:p w14:paraId="7C11FC09" w14:textId="2DB8651B" w:rsidR="00E07E4B" w:rsidRDefault="00E07E4B" w:rsidP="00E07E4B">
      <w:pPr>
        <w:pStyle w:val="BodyText"/>
        <w:tabs>
          <w:tab w:val="left" w:pos="360"/>
        </w:tabs>
        <w:spacing w:before="120" w:line="276" w:lineRule="auto"/>
        <w:ind w:left="360" w:hanging="360"/>
        <w:rPr>
          <w:rFonts w:ascii="Arial" w:hAnsi="Arial" w:cs="Arial"/>
          <w:sz w:val="14"/>
          <w:szCs w:val="14"/>
          <w:lang w:val="en-GB"/>
        </w:rPr>
      </w:pPr>
      <w:r>
        <w:rPr>
          <w:rFonts w:ascii="Arial" w:hAnsi="Arial" w:cs="Arial"/>
          <w:sz w:val="14"/>
          <w:szCs w:val="14"/>
          <w:lang w:val="en-GB"/>
        </w:rPr>
        <w:t>(2)</w:t>
      </w:r>
      <w:r>
        <w:rPr>
          <w:rFonts w:ascii="Arial" w:hAnsi="Arial" w:cs="Arial"/>
          <w:sz w:val="14"/>
          <w:szCs w:val="14"/>
          <w:lang w:val="en-GB"/>
        </w:rPr>
        <w:tab/>
        <w:t xml:space="preserve">The </w:t>
      </w:r>
      <w:r w:rsidRPr="0087740E">
        <w:rPr>
          <w:rFonts w:ascii="Arial" w:hAnsi="Arial" w:cs="Arial"/>
          <w:sz w:val="14"/>
          <w:szCs w:val="14"/>
          <w:lang w:val="en-GB"/>
        </w:rPr>
        <w:t xml:space="preserve">dates and timing of the events in the above timetable and in the rest of </w:t>
      </w:r>
      <w:r w:rsidR="009079A1">
        <w:rPr>
          <w:rFonts w:ascii="Arial" w:hAnsi="Arial" w:cs="Arial"/>
          <w:sz w:val="14"/>
          <w:szCs w:val="14"/>
          <w:lang w:val="en-GB"/>
        </w:rPr>
        <w:t>the</w:t>
      </w:r>
      <w:r w:rsidRPr="0087740E">
        <w:rPr>
          <w:rFonts w:ascii="Arial" w:hAnsi="Arial" w:cs="Arial"/>
          <w:sz w:val="14"/>
          <w:szCs w:val="14"/>
          <w:lang w:val="en-GB"/>
        </w:rPr>
        <w:t xml:space="preserve"> Document are ind</w:t>
      </w:r>
      <w:r>
        <w:rPr>
          <w:rFonts w:ascii="Arial" w:hAnsi="Arial" w:cs="Arial"/>
          <w:sz w:val="14"/>
          <w:szCs w:val="14"/>
          <w:lang w:val="en-GB"/>
        </w:rPr>
        <w:t xml:space="preserve">icative only and may be subject </w:t>
      </w:r>
      <w:r w:rsidRPr="0087740E">
        <w:rPr>
          <w:rFonts w:ascii="Arial" w:hAnsi="Arial" w:cs="Arial"/>
          <w:sz w:val="14"/>
          <w:szCs w:val="14"/>
          <w:lang w:val="en-GB"/>
        </w:rPr>
        <w:t>to change.</w:t>
      </w:r>
    </w:p>
    <w:p w14:paraId="58FEF1C2" w14:textId="77777777" w:rsidR="00E07E4B" w:rsidRDefault="00E07E4B" w:rsidP="00E07E4B">
      <w:pPr>
        <w:pStyle w:val="BodyText"/>
        <w:tabs>
          <w:tab w:val="left" w:pos="360"/>
        </w:tabs>
        <w:spacing w:before="120" w:line="276" w:lineRule="auto"/>
        <w:ind w:left="360" w:hanging="360"/>
        <w:rPr>
          <w:rFonts w:ascii="Arial" w:hAnsi="Arial" w:cs="Arial"/>
          <w:sz w:val="14"/>
          <w:szCs w:val="14"/>
          <w:lang w:val="en-GB"/>
        </w:rPr>
      </w:pPr>
      <w:r>
        <w:rPr>
          <w:rFonts w:ascii="Arial" w:hAnsi="Arial" w:cs="Arial"/>
          <w:sz w:val="14"/>
          <w:szCs w:val="14"/>
          <w:lang w:val="en-GB"/>
        </w:rPr>
        <w:t>(3)</w:t>
      </w:r>
      <w:r>
        <w:rPr>
          <w:rFonts w:ascii="Arial" w:hAnsi="Arial" w:cs="Arial"/>
          <w:sz w:val="14"/>
          <w:szCs w:val="14"/>
          <w:lang w:val="en-GB"/>
        </w:rPr>
        <w:tab/>
      </w:r>
      <w:r w:rsidRPr="0087740E">
        <w:rPr>
          <w:rFonts w:ascii="Arial" w:hAnsi="Arial" w:cs="Arial"/>
          <w:sz w:val="14"/>
          <w:szCs w:val="14"/>
          <w:lang w:val="en-GB"/>
        </w:rPr>
        <w:t>If any of the above times or dates should change, the revised times and/or dates will be noti</w:t>
      </w:r>
      <w:r>
        <w:rPr>
          <w:rFonts w:ascii="Arial" w:hAnsi="Arial" w:cs="Arial"/>
          <w:sz w:val="14"/>
          <w:szCs w:val="14"/>
          <w:lang w:val="en-GB"/>
        </w:rPr>
        <w:t xml:space="preserve">fied by an announcement through </w:t>
      </w:r>
      <w:r w:rsidRPr="0087740E">
        <w:rPr>
          <w:rFonts w:ascii="Arial" w:hAnsi="Arial" w:cs="Arial"/>
          <w:sz w:val="14"/>
          <w:szCs w:val="14"/>
          <w:lang w:val="en-GB"/>
        </w:rPr>
        <w:t>an RIS.</w:t>
      </w:r>
    </w:p>
    <w:p w14:paraId="478D8F7F" w14:textId="77777777" w:rsidR="00E07E4B" w:rsidRDefault="00E07E4B" w:rsidP="00E07E4B">
      <w:pPr>
        <w:pStyle w:val="BodyText"/>
        <w:tabs>
          <w:tab w:val="left" w:pos="360"/>
        </w:tabs>
        <w:spacing w:before="120" w:line="276" w:lineRule="auto"/>
        <w:ind w:left="360" w:hanging="360"/>
        <w:rPr>
          <w:rFonts w:ascii="Arial" w:hAnsi="Arial" w:cs="Arial"/>
          <w:sz w:val="14"/>
          <w:szCs w:val="14"/>
          <w:lang w:val="en-GB"/>
        </w:rPr>
      </w:pPr>
      <w:r>
        <w:rPr>
          <w:rFonts w:ascii="Arial" w:hAnsi="Arial" w:cs="Arial"/>
          <w:sz w:val="14"/>
          <w:szCs w:val="14"/>
          <w:lang w:val="en-GB"/>
        </w:rPr>
        <w:t>(4)</w:t>
      </w:r>
      <w:r>
        <w:rPr>
          <w:rFonts w:ascii="Arial" w:hAnsi="Arial" w:cs="Arial"/>
          <w:sz w:val="14"/>
          <w:szCs w:val="14"/>
          <w:lang w:val="en-GB"/>
        </w:rPr>
        <w:tab/>
      </w:r>
      <w:r w:rsidRPr="0087740E">
        <w:rPr>
          <w:rFonts w:ascii="Arial" w:hAnsi="Arial" w:cs="Arial"/>
          <w:sz w:val="14"/>
          <w:szCs w:val="14"/>
          <w:lang w:val="en-GB"/>
        </w:rPr>
        <w:t>The Com</w:t>
      </w:r>
      <w:r>
        <w:rPr>
          <w:rFonts w:ascii="Arial" w:hAnsi="Arial" w:cs="Arial"/>
          <w:sz w:val="14"/>
          <w:szCs w:val="14"/>
          <w:lang w:val="en-GB"/>
        </w:rPr>
        <w:t xml:space="preserve">pany’s LEI code is </w:t>
      </w:r>
      <w:r w:rsidRPr="00DB7F58">
        <w:rPr>
          <w:rFonts w:ascii="Arial" w:hAnsi="Arial" w:cs="Arial"/>
          <w:sz w:val="14"/>
          <w:szCs w:val="14"/>
          <w:lang w:val="en-GB"/>
        </w:rPr>
        <w:t>213800U1F5CGRZJ47X73</w:t>
      </w:r>
      <w:r>
        <w:rPr>
          <w:rFonts w:ascii="Arial" w:hAnsi="Arial" w:cs="Arial"/>
          <w:sz w:val="14"/>
          <w:szCs w:val="14"/>
          <w:lang w:val="en-GB"/>
        </w:rPr>
        <w:t xml:space="preserve"> and</w:t>
      </w:r>
      <w:r w:rsidRPr="0087740E">
        <w:rPr>
          <w:rFonts w:ascii="Arial" w:hAnsi="Arial" w:cs="Arial"/>
          <w:sz w:val="14"/>
          <w:szCs w:val="14"/>
          <w:lang w:val="en-GB"/>
        </w:rPr>
        <w:t xml:space="preserve"> ISIN code is </w:t>
      </w:r>
      <w:r w:rsidRPr="009C171B">
        <w:rPr>
          <w:rFonts w:ascii="Arial" w:hAnsi="Arial" w:cs="Arial"/>
          <w:sz w:val="14"/>
          <w:szCs w:val="14"/>
          <w:lang w:val="en-GB"/>
        </w:rPr>
        <w:t>GB00BYT56612</w:t>
      </w:r>
    </w:p>
    <w:p w14:paraId="1CC6C3D2" w14:textId="77777777" w:rsidR="00E07E4B" w:rsidRDefault="00E07E4B" w:rsidP="00E07E4B">
      <w:pPr>
        <w:pStyle w:val="Heading2"/>
        <w:spacing w:line="276" w:lineRule="auto"/>
        <w:rPr>
          <w:rFonts w:ascii="Arial" w:hAnsi="Arial" w:cs="Arial"/>
          <w:lang w:val="en-GB"/>
        </w:rPr>
      </w:pPr>
    </w:p>
    <w:sectPr w:rsidR="00E07E4B" w:rsidSect="003A145A">
      <w:headerReference w:type="even" r:id="rId16"/>
      <w:headerReference w:type="default" r:id="rId17"/>
      <w:footerReference w:type="even" r:id="rId18"/>
      <w:footerReference w:type="default" r:id="rId19"/>
      <w:headerReference w:type="first" r:id="rId20"/>
      <w:footerReference w:type="first" r:id="rId21"/>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883C" w14:textId="77777777" w:rsidR="00B112CD" w:rsidRDefault="00B112CD" w:rsidP="008961B2">
      <w:pPr>
        <w:spacing w:after="0" w:line="240" w:lineRule="auto"/>
      </w:pPr>
      <w:r>
        <w:separator/>
      </w:r>
    </w:p>
  </w:endnote>
  <w:endnote w:type="continuationSeparator" w:id="0">
    <w:p w14:paraId="071174C6" w14:textId="77777777" w:rsidR="00B112CD" w:rsidRDefault="00B112CD" w:rsidP="008961B2">
      <w:pPr>
        <w:spacing w:after="0" w:line="240" w:lineRule="auto"/>
      </w:pPr>
      <w:r>
        <w:continuationSeparator/>
      </w:r>
    </w:p>
  </w:endnote>
  <w:endnote w:type="continuationNotice" w:id="1">
    <w:p w14:paraId="3D10142E" w14:textId="77777777" w:rsidR="00B112CD" w:rsidRDefault="00B11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14A" w14:textId="77777777" w:rsidR="008961B2" w:rsidRDefault="00896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92F4" w14:textId="77777777" w:rsidR="008961B2" w:rsidRDefault="00896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0354" w14:textId="77777777" w:rsidR="008961B2" w:rsidRDefault="00896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2297" w14:textId="77777777" w:rsidR="00B112CD" w:rsidRDefault="00B112CD" w:rsidP="008961B2">
      <w:pPr>
        <w:spacing w:after="0" w:line="240" w:lineRule="auto"/>
      </w:pPr>
      <w:r>
        <w:separator/>
      </w:r>
    </w:p>
  </w:footnote>
  <w:footnote w:type="continuationSeparator" w:id="0">
    <w:p w14:paraId="12DE1CE9" w14:textId="77777777" w:rsidR="00B112CD" w:rsidRDefault="00B112CD" w:rsidP="008961B2">
      <w:pPr>
        <w:spacing w:after="0" w:line="240" w:lineRule="auto"/>
      </w:pPr>
      <w:r>
        <w:continuationSeparator/>
      </w:r>
    </w:p>
  </w:footnote>
  <w:footnote w:type="continuationNotice" w:id="1">
    <w:p w14:paraId="3BFE97A4" w14:textId="77777777" w:rsidR="00B112CD" w:rsidRDefault="00B112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1F8F" w14:textId="77777777" w:rsidR="008961B2" w:rsidRDefault="00896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A092" w14:textId="6B8DC7D7" w:rsidR="008961B2" w:rsidRDefault="00896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9E68" w14:textId="77777777" w:rsidR="008961B2" w:rsidRDefault="00896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E1F"/>
    <w:multiLevelType w:val="hybridMultilevel"/>
    <w:tmpl w:val="F2D09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A6F63"/>
    <w:multiLevelType w:val="hybridMultilevel"/>
    <w:tmpl w:val="C798B3DE"/>
    <w:lvl w:ilvl="0" w:tplc="D1FC509E">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37D6E"/>
    <w:multiLevelType w:val="multilevel"/>
    <w:tmpl w:val="B5A63336"/>
    <w:styleLink w:val="z-listHeading"/>
    <w:lvl w:ilvl="0">
      <w:start w:val="1"/>
      <w:numFmt w:val="none"/>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3" w15:restartNumberingAfterBreak="0">
    <w:nsid w:val="2B9111F4"/>
    <w:multiLevelType w:val="hybridMultilevel"/>
    <w:tmpl w:val="E6D65D1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32523195"/>
    <w:multiLevelType w:val="multilevel"/>
    <w:tmpl w:val="97F65720"/>
    <w:lvl w:ilvl="0">
      <w:start w:val="1"/>
      <w:numFmt w:val="decimal"/>
      <w:pStyle w:val="NumberingLevel1"/>
      <w:lvlText w:val="%1."/>
      <w:lvlJc w:val="left"/>
      <w:pPr>
        <w:ind w:left="862"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720"/>
      </w:pPr>
      <w:rPr>
        <w:rFonts w:hint="default"/>
      </w:rPr>
    </w:lvl>
    <w:lvl w:ilvl="5">
      <w:start w:val="1"/>
      <w:numFmt w:val="lowerRoman"/>
      <w:lvlText w:val="(%6)"/>
      <w:lvlJc w:val="left"/>
      <w:pPr>
        <w:tabs>
          <w:tab w:val="num" w:pos="4680"/>
        </w:tabs>
        <w:ind w:left="4680" w:hanging="720"/>
      </w:pPr>
      <w:rPr>
        <w:rFonts w:hint="default"/>
      </w:rPr>
    </w:lvl>
    <w:lvl w:ilvl="6">
      <w:start w:val="1"/>
      <w:numFmt w:val="upperLetter"/>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6726F1E"/>
    <w:multiLevelType w:val="hybridMultilevel"/>
    <w:tmpl w:val="27C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26B8E"/>
    <w:multiLevelType w:val="multilevel"/>
    <w:tmpl w:val="495006AE"/>
    <w:styleLink w:val="MainNumbering"/>
    <w:lvl w:ilvl="0">
      <w:start w:val="1"/>
      <w:numFmt w:val="decimal"/>
      <w:pStyle w:val="Level1Heading"/>
      <w:lvlText w:val="%1"/>
      <w:lvlJc w:val="left"/>
      <w:pPr>
        <w:tabs>
          <w:tab w:val="num" w:pos="709"/>
        </w:tabs>
        <w:ind w:left="709" w:hanging="709"/>
      </w:pPr>
      <w:rPr>
        <w:b w:val="0"/>
        <w:i w:val="0"/>
      </w:rPr>
    </w:lvl>
    <w:lvl w:ilvl="1">
      <w:start w:val="1"/>
      <w:numFmt w:val="decimal"/>
      <w:pStyle w:val="Level2Number"/>
      <w:lvlText w:val="%1.%2"/>
      <w:lvlJc w:val="left"/>
      <w:pPr>
        <w:ind w:left="709" w:hanging="709"/>
      </w:pPr>
      <w:rPr>
        <w:b w:val="0"/>
        <w:i w:val="0"/>
      </w:rPr>
    </w:lvl>
    <w:lvl w:ilvl="2">
      <w:start w:val="1"/>
      <w:numFmt w:val="decimal"/>
      <w:pStyle w:val="Level3Number"/>
      <w:lvlText w:val="%1.%2.%3"/>
      <w:lvlJc w:val="left"/>
      <w:pPr>
        <w:tabs>
          <w:tab w:val="num" w:pos="1701"/>
        </w:tabs>
        <w:ind w:left="1701" w:hanging="992"/>
      </w:pPr>
      <w:rPr>
        <w:b w:val="0"/>
        <w:i w:val="0"/>
      </w:rPr>
    </w:lvl>
    <w:lvl w:ilvl="3">
      <w:start w:val="1"/>
      <w:numFmt w:val="lowerLetter"/>
      <w:pStyle w:val="Level4Number"/>
      <w:lvlText w:val="(%4)"/>
      <w:lvlJc w:val="left"/>
      <w:pPr>
        <w:tabs>
          <w:tab w:val="num" w:pos="2410"/>
        </w:tabs>
        <w:ind w:left="2410" w:hanging="709"/>
      </w:pPr>
      <w:rPr>
        <w:b w:val="0"/>
        <w:bCs w:val="0"/>
        <w:i w:val="0"/>
        <w:iCs w:val="0"/>
      </w:rPr>
    </w:lvl>
    <w:lvl w:ilvl="4">
      <w:start w:val="1"/>
      <w:numFmt w:val="lowerRoman"/>
      <w:pStyle w:val="Level5Number"/>
      <w:lvlText w:val="(%5)"/>
      <w:lvlJc w:val="left"/>
      <w:pPr>
        <w:tabs>
          <w:tab w:val="num" w:pos="3119"/>
        </w:tabs>
        <w:ind w:left="3119" w:hanging="709"/>
      </w:pPr>
      <w:rPr>
        <w:b w:val="0"/>
        <w:bCs w:val="0"/>
        <w:i w:val="0"/>
        <w:iCs w:val="0"/>
      </w:rPr>
    </w:lvl>
    <w:lvl w:ilvl="5">
      <w:start w:val="1"/>
      <w:numFmt w:val="upperLetter"/>
      <w:pStyle w:val="Level6Number"/>
      <w:lvlText w:val="(%6)"/>
      <w:lvlJc w:val="left"/>
      <w:pPr>
        <w:tabs>
          <w:tab w:val="num" w:pos="3827"/>
        </w:tabs>
        <w:ind w:left="3827" w:hanging="708"/>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7" w15:restartNumberingAfterBreak="0">
    <w:nsid w:val="51876CDF"/>
    <w:multiLevelType w:val="hybridMultilevel"/>
    <w:tmpl w:val="5F080FCA"/>
    <w:lvl w:ilvl="0" w:tplc="635E992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9" w15:restartNumberingAfterBreak="0">
    <w:nsid w:val="5697384C"/>
    <w:multiLevelType w:val="hybridMultilevel"/>
    <w:tmpl w:val="0A04A5C0"/>
    <w:lvl w:ilvl="0" w:tplc="E252FE80">
      <w:start w:val="1"/>
      <w:numFmt w:val="bullet"/>
      <w:lvlText w:val=""/>
      <w:lvlJc w:val="left"/>
      <w:pPr>
        <w:ind w:left="720" w:hanging="360"/>
      </w:pPr>
      <w:rPr>
        <w:rFonts w:ascii="Symbol" w:hAnsi="Symbol" w:hint="default"/>
      </w:rPr>
    </w:lvl>
    <w:lvl w:ilvl="1" w:tplc="3E70CB58" w:tentative="1">
      <w:start w:val="1"/>
      <w:numFmt w:val="bullet"/>
      <w:lvlText w:val="o"/>
      <w:lvlJc w:val="left"/>
      <w:pPr>
        <w:ind w:left="1440" w:hanging="360"/>
      </w:pPr>
      <w:rPr>
        <w:rFonts w:ascii="Courier New" w:hAnsi="Courier New" w:cs="Courier New" w:hint="default"/>
      </w:rPr>
    </w:lvl>
    <w:lvl w:ilvl="2" w:tplc="9968D668" w:tentative="1">
      <w:start w:val="1"/>
      <w:numFmt w:val="bullet"/>
      <w:lvlText w:val=""/>
      <w:lvlJc w:val="left"/>
      <w:pPr>
        <w:ind w:left="2160" w:hanging="360"/>
      </w:pPr>
      <w:rPr>
        <w:rFonts w:ascii="Wingdings" w:hAnsi="Wingdings" w:hint="default"/>
      </w:rPr>
    </w:lvl>
    <w:lvl w:ilvl="3" w:tplc="13CE0496" w:tentative="1">
      <w:start w:val="1"/>
      <w:numFmt w:val="bullet"/>
      <w:lvlText w:val=""/>
      <w:lvlJc w:val="left"/>
      <w:pPr>
        <w:ind w:left="2880" w:hanging="360"/>
      </w:pPr>
      <w:rPr>
        <w:rFonts w:ascii="Symbol" w:hAnsi="Symbol" w:hint="default"/>
      </w:rPr>
    </w:lvl>
    <w:lvl w:ilvl="4" w:tplc="2A1E0EEA" w:tentative="1">
      <w:start w:val="1"/>
      <w:numFmt w:val="bullet"/>
      <w:lvlText w:val="o"/>
      <w:lvlJc w:val="left"/>
      <w:pPr>
        <w:ind w:left="3600" w:hanging="360"/>
      </w:pPr>
      <w:rPr>
        <w:rFonts w:ascii="Courier New" w:hAnsi="Courier New" w:cs="Courier New" w:hint="default"/>
      </w:rPr>
    </w:lvl>
    <w:lvl w:ilvl="5" w:tplc="A3C66CC2" w:tentative="1">
      <w:start w:val="1"/>
      <w:numFmt w:val="bullet"/>
      <w:lvlText w:val=""/>
      <w:lvlJc w:val="left"/>
      <w:pPr>
        <w:ind w:left="4320" w:hanging="360"/>
      </w:pPr>
      <w:rPr>
        <w:rFonts w:ascii="Wingdings" w:hAnsi="Wingdings" w:hint="default"/>
      </w:rPr>
    </w:lvl>
    <w:lvl w:ilvl="6" w:tplc="B2BC690C" w:tentative="1">
      <w:start w:val="1"/>
      <w:numFmt w:val="bullet"/>
      <w:lvlText w:val=""/>
      <w:lvlJc w:val="left"/>
      <w:pPr>
        <w:ind w:left="5040" w:hanging="360"/>
      </w:pPr>
      <w:rPr>
        <w:rFonts w:ascii="Symbol" w:hAnsi="Symbol" w:hint="default"/>
      </w:rPr>
    </w:lvl>
    <w:lvl w:ilvl="7" w:tplc="555C23CA" w:tentative="1">
      <w:start w:val="1"/>
      <w:numFmt w:val="bullet"/>
      <w:lvlText w:val="o"/>
      <w:lvlJc w:val="left"/>
      <w:pPr>
        <w:ind w:left="5760" w:hanging="360"/>
      </w:pPr>
      <w:rPr>
        <w:rFonts w:ascii="Courier New" w:hAnsi="Courier New" w:cs="Courier New" w:hint="default"/>
      </w:rPr>
    </w:lvl>
    <w:lvl w:ilvl="8" w:tplc="75C6A86A" w:tentative="1">
      <w:start w:val="1"/>
      <w:numFmt w:val="bullet"/>
      <w:lvlText w:val=""/>
      <w:lvlJc w:val="left"/>
      <w:pPr>
        <w:ind w:left="6480" w:hanging="360"/>
      </w:pPr>
      <w:rPr>
        <w:rFonts w:ascii="Wingdings" w:hAnsi="Wingdings" w:hint="default"/>
      </w:rPr>
    </w:lvl>
  </w:abstractNum>
  <w:abstractNum w:abstractNumId="10" w15:restartNumberingAfterBreak="0">
    <w:nsid w:val="694B2E5A"/>
    <w:multiLevelType w:val="hybridMultilevel"/>
    <w:tmpl w:val="AB125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862E60"/>
    <w:multiLevelType w:val="hybridMultilevel"/>
    <w:tmpl w:val="06E8490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9055549">
    <w:abstractNumId w:val="10"/>
  </w:num>
  <w:num w:numId="2" w16cid:durableId="1228420553">
    <w:abstractNumId w:val="4"/>
  </w:num>
  <w:num w:numId="3" w16cid:durableId="1978074022">
    <w:abstractNumId w:val="7"/>
  </w:num>
  <w:num w:numId="4" w16cid:durableId="1205488178">
    <w:abstractNumId w:val="0"/>
  </w:num>
  <w:num w:numId="5" w16cid:durableId="427654067">
    <w:abstractNumId w:val="11"/>
  </w:num>
  <w:num w:numId="6" w16cid:durableId="2052731001">
    <w:abstractNumId w:val="2"/>
  </w:num>
  <w:num w:numId="7" w16cid:durableId="1165558548">
    <w:abstractNumId w:val="6"/>
  </w:num>
  <w:num w:numId="8" w16cid:durableId="1346513988">
    <w:abstractNumId w:val="1"/>
  </w:num>
  <w:num w:numId="9" w16cid:durableId="1794514069">
    <w:abstractNumId w:val="5"/>
  </w:num>
  <w:num w:numId="10" w16cid:durableId="863009456">
    <w:abstractNumId w:val="3"/>
  </w:num>
  <w:num w:numId="11" w16cid:durableId="1980259072">
    <w:abstractNumId w:val="8"/>
  </w:num>
  <w:num w:numId="12" w16cid:durableId="966350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F6E31"/>
    <w:rsid w:val="00003DE0"/>
    <w:rsid w:val="00016F79"/>
    <w:rsid w:val="0002585A"/>
    <w:rsid w:val="00025FF0"/>
    <w:rsid w:val="00034A4F"/>
    <w:rsid w:val="00043504"/>
    <w:rsid w:val="000741F4"/>
    <w:rsid w:val="00084865"/>
    <w:rsid w:val="000C08DC"/>
    <w:rsid w:val="000E7F02"/>
    <w:rsid w:val="00107C89"/>
    <w:rsid w:val="00107D1D"/>
    <w:rsid w:val="00112EBF"/>
    <w:rsid w:val="00121D48"/>
    <w:rsid w:val="001271CE"/>
    <w:rsid w:val="00133026"/>
    <w:rsid w:val="00146952"/>
    <w:rsid w:val="00146B31"/>
    <w:rsid w:val="001569C6"/>
    <w:rsid w:val="00165743"/>
    <w:rsid w:val="00165ED7"/>
    <w:rsid w:val="00171E88"/>
    <w:rsid w:val="0017743B"/>
    <w:rsid w:val="0019040A"/>
    <w:rsid w:val="00195B6B"/>
    <w:rsid w:val="00197B1E"/>
    <w:rsid w:val="001A7EE7"/>
    <w:rsid w:val="001B78D8"/>
    <w:rsid w:val="001C177A"/>
    <w:rsid w:val="002109DF"/>
    <w:rsid w:val="00211E14"/>
    <w:rsid w:val="00216198"/>
    <w:rsid w:val="00217D5B"/>
    <w:rsid w:val="0023318A"/>
    <w:rsid w:val="00234136"/>
    <w:rsid w:val="00236FAA"/>
    <w:rsid w:val="00250C88"/>
    <w:rsid w:val="00254376"/>
    <w:rsid w:val="002548FA"/>
    <w:rsid w:val="0027474E"/>
    <w:rsid w:val="00280948"/>
    <w:rsid w:val="00285D4F"/>
    <w:rsid w:val="002871CB"/>
    <w:rsid w:val="002A0A04"/>
    <w:rsid w:val="002A6A94"/>
    <w:rsid w:val="002B0D65"/>
    <w:rsid w:val="002B336F"/>
    <w:rsid w:val="002C039E"/>
    <w:rsid w:val="002C2BBF"/>
    <w:rsid w:val="002C3C9C"/>
    <w:rsid w:val="002C3E5D"/>
    <w:rsid w:val="002D0580"/>
    <w:rsid w:val="002D18E9"/>
    <w:rsid w:val="002D4DBB"/>
    <w:rsid w:val="002E372A"/>
    <w:rsid w:val="002E3BB3"/>
    <w:rsid w:val="002F0F64"/>
    <w:rsid w:val="003069DC"/>
    <w:rsid w:val="00313FA2"/>
    <w:rsid w:val="00320654"/>
    <w:rsid w:val="00333C6C"/>
    <w:rsid w:val="003351B2"/>
    <w:rsid w:val="00337518"/>
    <w:rsid w:val="00337D2F"/>
    <w:rsid w:val="003520A4"/>
    <w:rsid w:val="00383CA0"/>
    <w:rsid w:val="00384DBE"/>
    <w:rsid w:val="0039780A"/>
    <w:rsid w:val="003A145A"/>
    <w:rsid w:val="003A3C26"/>
    <w:rsid w:val="003A6C9D"/>
    <w:rsid w:val="003A744D"/>
    <w:rsid w:val="003B0A53"/>
    <w:rsid w:val="003C3CB3"/>
    <w:rsid w:val="003D60ED"/>
    <w:rsid w:val="003E5122"/>
    <w:rsid w:val="003F42A6"/>
    <w:rsid w:val="003F7F84"/>
    <w:rsid w:val="00407CA6"/>
    <w:rsid w:val="0042356F"/>
    <w:rsid w:val="00432C75"/>
    <w:rsid w:val="00442DC2"/>
    <w:rsid w:val="004478AF"/>
    <w:rsid w:val="0045271F"/>
    <w:rsid w:val="0045519B"/>
    <w:rsid w:val="00460319"/>
    <w:rsid w:val="00467B3F"/>
    <w:rsid w:val="0047246E"/>
    <w:rsid w:val="0048181D"/>
    <w:rsid w:val="00496600"/>
    <w:rsid w:val="004A7325"/>
    <w:rsid w:val="004B2021"/>
    <w:rsid w:val="004B5BF8"/>
    <w:rsid w:val="004B5DE0"/>
    <w:rsid w:val="004B6C83"/>
    <w:rsid w:val="004C4E48"/>
    <w:rsid w:val="004C6BF6"/>
    <w:rsid w:val="004C7DF8"/>
    <w:rsid w:val="004D004F"/>
    <w:rsid w:val="004E0491"/>
    <w:rsid w:val="00502D36"/>
    <w:rsid w:val="00507BE3"/>
    <w:rsid w:val="00512113"/>
    <w:rsid w:val="00517F73"/>
    <w:rsid w:val="00522016"/>
    <w:rsid w:val="005310EF"/>
    <w:rsid w:val="00544EBF"/>
    <w:rsid w:val="00553F78"/>
    <w:rsid w:val="00561C7E"/>
    <w:rsid w:val="00571801"/>
    <w:rsid w:val="005757D7"/>
    <w:rsid w:val="00576B14"/>
    <w:rsid w:val="005867DA"/>
    <w:rsid w:val="005A6457"/>
    <w:rsid w:val="005C2D7F"/>
    <w:rsid w:val="005D358E"/>
    <w:rsid w:val="005E44A0"/>
    <w:rsid w:val="005E58A7"/>
    <w:rsid w:val="005E7BA9"/>
    <w:rsid w:val="005F0DED"/>
    <w:rsid w:val="005F3AA7"/>
    <w:rsid w:val="00615809"/>
    <w:rsid w:val="00626820"/>
    <w:rsid w:val="00631549"/>
    <w:rsid w:val="00635B47"/>
    <w:rsid w:val="00635F4E"/>
    <w:rsid w:val="0064703B"/>
    <w:rsid w:val="00647728"/>
    <w:rsid w:val="00650EE8"/>
    <w:rsid w:val="00651D99"/>
    <w:rsid w:val="00654EFD"/>
    <w:rsid w:val="006550AB"/>
    <w:rsid w:val="00656EEE"/>
    <w:rsid w:val="0068170E"/>
    <w:rsid w:val="0068570A"/>
    <w:rsid w:val="0068724F"/>
    <w:rsid w:val="0069160D"/>
    <w:rsid w:val="006A0CB7"/>
    <w:rsid w:val="006B05AB"/>
    <w:rsid w:val="006B56B8"/>
    <w:rsid w:val="006F4F47"/>
    <w:rsid w:val="006F6E31"/>
    <w:rsid w:val="00735601"/>
    <w:rsid w:val="00740FB2"/>
    <w:rsid w:val="0074285C"/>
    <w:rsid w:val="00746462"/>
    <w:rsid w:val="007464FC"/>
    <w:rsid w:val="0076181B"/>
    <w:rsid w:val="00763F2F"/>
    <w:rsid w:val="007670D8"/>
    <w:rsid w:val="00781D73"/>
    <w:rsid w:val="00783D38"/>
    <w:rsid w:val="00792266"/>
    <w:rsid w:val="007B2370"/>
    <w:rsid w:val="007C4780"/>
    <w:rsid w:val="007C6D9B"/>
    <w:rsid w:val="007D044D"/>
    <w:rsid w:val="007D2737"/>
    <w:rsid w:val="007F2D49"/>
    <w:rsid w:val="00802B41"/>
    <w:rsid w:val="00810CCC"/>
    <w:rsid w:val="0082474D"/>
    <w:rsid w:val="00827896"/>
    <w:rsid w:val="008314E6"/>
    <w:rsid w:val="00851A7B"/>
    <w:rsid w:val="00854DFF"/>
    <w:rsid w:val="00855302"/>
    <w:rsid w:val="0085630A"/>
    <w:rsid w:val="008570E5"/>
    <w:rsid w:val="00861667"/>
    <w:rsid w:val="00864031"/>
    <w:rsid w:val="008705BB"/>
    <w:rsid w:val="00872474"/>
    <w:rsid w:val="00876139"/>
    <w:rsid w:val="00885671"/>
    <w:rsid w:val="008872BC"/>
    <w:rsid w:val="008961B2"/>
    <w:rsid w:val="008B20CA"/>
    <w:rsid w:val="008B7649"/>
    <w:rsid w:val="008C7759"/>
    <w:rsid w:val="008E38A1"/>
    <w:rsid w:val="008E403C"/>
    <w:rsid w:val="009079A1"/>
    <w:rsid w:val="00912F89"/>
    <w:rsid w:val="00921BE0"/>
    <w:rsid w:val="00922266"/>
    <w:rsid w:val="009340CD"/>
    <w:rsid w:val="00946148"/>
    <w:rsid w:val="00946638"/>
    <w:rsid w:val="0095320A"/>
    <w:rsid w:val="00953574"/>
    <w:rsid w:val="00956C45"/>
    <w:rsid w:val="009650C6"/>
    <w:rsid w:val="0098725E"/>
    <w:rsid w:val="00987700"/>
    <w:rsid w:val="009902E9"/>
    <w:rsid w:val="00992B68"/>
    <w:rsid w:val="00993EDF"/>
    <w:rsid w:val="009972E3"/>
    <w:rsid w:val="009A3900"/>
    <w:rsid w:val="009B7566"/>
    <w:rsid w:val="009C12B9"/>
    <w:rsid w:val="009D4073"/>
    <w:rsid w:val="009D70EE"/>
    <w:rsid w:val="009E1293"/>
    <w:rsid w:val="00A07FE8"/>
    <w:rsid w:val="00A14EEE"/>
    <w:rsid w:val="00A23A71"/>
    <w:rsid w:val="00A33202"/>
    <w:rsid w:val="00A36C00"/>
    <w:rsid w:val="00A42669"/>
    <w:rsid w:val="00A42BE5"/>
    <w:rsid w:val="00A50C6C"/>
    <w:rsid w:val="00A51648"/>
    <w:rsid w:val="00A536B8"/>
    <w:rsid w:val="00A61084"/>
    <w:rsid w:val="00A61C81"/>
    <w:rsid w:val="00A753C3"/>
    <w:rsid w:val="00A77BB5"/>
    <w:rsid w:val="00A81E5B"/>
    <w:rsid w:val="00AA56D5"/>
    <w:rsid w:val="00AC4050"/>
    <w:rsid w:val="00AD6161"/>
    <w:rsid w:val="00AE5207"/>
    <w:rsid w:val="00AF2063"/>
    <w:rsid w:val="00AF3C82"/>
    <w:rsid w:val="00B06384"/>
    <w:rsid w:val="00B112CD"/>
    <w:rsid w:val="00B12948"/>
    <w:rsid w:val="00B162E2"/>
    <w:rsid w:val="00B165BC"/>
    <w:rsid w:val="00B30BAF"/>
    <w:rsid w:val="00B37A7C"/>
    <w:rsid w:val="00B46017"/>
    <w:rsid w:val="00B47299"/>
    <w:rsid w:val="00B5048F"/>
    <w:rsid w:val="00B55E96"/>
    <w:rsid w:val="00B56620"/>
    <w:rsid w:val="00B57A87"/>
    <w:rsid w:val="00B77BE6"/>
    <w:rsid w:val="00B85296"/>
    <w:rsid w:val="00B97A9D"/>
    <w:rsid w:val="00BA0E4C"/>
    <w:rsid w:val="00BA665D"/>
    <w:rsid w:val="00BA6915"/>
    <w:rsid w:val="00BA71A5"/>
    <w:rsid w:val="00BB002F"/>
    <w:rsid w:val="00BB35F1"/>
    <w:rsid w:val="00BB556D"/>
    <w:rsid w:val="00BC7023"/>
    <w:rsid w:val="00BE134C"/>
    <w:rsid w:val="00BF1EFA"/>
    <w:rsid w:val="00BF7BD5"/>
    <w:rsid w:val="00C13130"/>
    <w:rsid w:val="00C26228"/>
    <w:rsid w:val="00C30094"/>
    <w:rsid w:val="00C33C08"/>
    <w:rsid w:val="00C40E91"/>
    <w:rsid w:val="00C4525E"/>
    <w:rsid w:val="00C46E5B"/>
    <w:rsid w:val="00C55A93"/>
    <w:rsid w:val="00C577C2"/>
    <w:rsid w:val="00C57F0E"/>
    <w:rsid w:val="00C64ADD"/>
    <w:rsid w:val="00C668C2"/>
    <w:rsid w:val="00CB66F4"/>
    <w:rsid w:val="00CC2BEB"/>
    <w:rsid w:val="00CD13F1"/>
    <w:rsid w:val="00CE1EFC"/>
    <w:rsid w:val="00CF621D"/>
    <w:rsid w:val="00D74429"/>
    <w:rsid w:val="00DA4242"/>
    <w:rsid w:val="00DC50C0"/>
    <w:rsid w:val="00DD780C"/>
    <w:rsid w:val="00DE6E44"/>
    <w:rsid w:val="00E0151B"/>
    <w:rsid w:val="00E067C7"/>
    <w:rsid w:val="00E07E4B"/>
    <w:rsid w:val="00E1338D"/>
    <w:rsid w:val="00E2316F"/>
    <w:rsid w:val="00E32CDD"/>
    <w:rsid w:val="00E457ED"/>
    <w:rsid w:val="00E660DE"/>
    <w:rsid w:val="00E82004"/>
    <w:rsid w:val="00E87631"/>
    <w:rsid w:val="00EA2DFB"/>
    <w:rsid w:val="00EA369E"/>
    <w:rsid w:val="00EA6A63"/>
    <w:rsid w:val="00EB6071"/>
    <w:rsid w:val="00EC126C"/>
    <w:rsid w:val="00EC5C35"/>
    <w:rsid w:val="00EC7598"/>
    <w:rsid w:val="00ED0034"/>
    <w:rsid w:val="00ED7567"/>
    <w:rsid w:val="00EF0A9D"/>
    <w:rsid w:val="00EF0B4B"/>
    <w:rsid w:val="00F05237"/>
    <w:rsid w:val="00F149EA"/>
    <w:rsid w:val="00F32907"/>
    <w:rsid w:val="00F32974"/>
    <w:rsid w:val="00F32A4D"/>
    <w:rsid w:val="00F3590C"/>
    <w:rsid w:val="00F41AB7"/>
    <w:rsid w:val="00F46190"/>
    <w:rsid w:val="00F51B42"/>
    <w:rsid w:val="00F6091A"/>
    <w:rsid w:val="00F60D7B"/>
    <w:rsid w:val="00F66550"/>
    <w:rsid w:val="00F67861"/>
    <w:rsid w:val="00F70135"/>
    <w:rsid w:val="00F758A8"/>
    <w:rsid w:val="00F84A81"/>
    <w:rsid w:val="00F927AD"/>
    <w:rsid w:val="00F929F3"/>
    <w:rsid w:val="00FA35E8"/>
    <w:rsid w:val="00FA65EA"/>
    <w:rsid w:val="00FB172C"/>
    <w:rsid w:val="00FB27FA"/>
    <w:rsid w:val="00FC1CC5"/>
    <w:rsid w:val="00FC2960"/>
    <w:rsid w:val="00FC4B44"/>
    <w:rsid w:val="00FC6A91"/>
    <w:rsid w:val="00FD607C"/>
    <w:rsid w:val="00FD6388"/>
    <w:rsid w:val="00FE0B30"/>
    <w:rsid w:val="00FF3A17"/>
    <w:rsid w:val="00FF598C"/>
    <w:rsid w:val="08409C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E234F"/>
  <w15:chartTrackingRefBased/>
  <w15:docId w15:val="{4CAD5B16-C96D-4F7F-94EB-83697616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E31"/>
    <w:pPr>
      <w:spacing w:line="256" w:lineRule="auto"/>
    </w:pPr>
    <w:rPr>
      <w:rFonts w:eastAsia="MS Mincho"/>
    </w:rPr>
  </w:style>
  <w:style w:type="paragraph" w:styleId="Heading1">
    <w:name w:val="heading 1"/>
    <w:basedOn w:val="Normal"/>
    <w:next w:val="Normal"/>
    <w:link w:val="Heading1Char"/>
    <w:uiPriority w:val="12"/>
    <w:qFormat/>
    <w:rsid w:val="002C039E"/>
    <w:pPr>
      <w:keepNext/>
      <w:numPr>
        <w:numId w:val="6"/>
      </w:numPr>
      <w:tabs>
        <w:tab w:val="left" w:pos="0"/>
      </w:tabs>
      <w:spacing w:before="200" w:after="0" w:line="240" w:lineRule="auto"/>
      <w:jc w:val="center"/>
      <w:outlineLvl w:val="0"/>
    </w:pPr>
    <w:rPr>
      <w:rFonts w:asciiTheme="majorHAnsi" w:eastAsiaTheme="minorHAnsi" w:hAnsiTheme="majorHAnsi" w:cstheme="majorHAnsi"/>
      <w:b/>
      <w:color w:val="4472C4" w:themeColor="accent1"/>
      <w:sz w:val="20"/>
      <w:lang w:val="en-CA"/>
    </w:rPr>
  </w:style>
  <w:style w:type="paragraph" w:styleId="Heading2">
    <w:name w:val="heading 2"/>
    <w:basedOn w:val="Normal"/>
    <w:next w:val="Headingext2"/>
    <w:link w:val="Heading2Char"/>
    <w:uiPriority w:val="12"/>
    <w:unhideWhenUsed/>
    <w:qFormat/>
    <w:rsid w:val="002C039E"/>
    <w:pPr>
      <w:keepNext/>
      <w:numPr>
        <w:ilvl w:val="1"/>
        <w:numId w:val="6"/>
      </w:numPr>
      <w:spacing w:before="200" w:after="0" w:line="240" w:lineRule="auto"/>
      <w:jc w:val="center"/>
      <w:outlineLvl w:val="1"/>
    </w:pPr>
    <w:rPr>
      <w:rFonts w:asciiTheme="majorHAnsi" w:eastAsiaTheme="minorHAnsi" w:hAnsiTheme="majorHAnsi" w:cstheme="majorHAnsi"/>
      <w:b/>
      <w:color w:val="4472C4" w:themeColor="accent1"/>
      <w:sz w:val="20"/>
      <w:lang w:val="en-CA"/>
    </w:rPr>
  </w:style>
  <w:style w:type="paragraph" w:styleId="Heading3">
    <w:name w:val="heading 3"/>
    <w:basedOn w:val="Normal"/>
    <w:next w:val="Normal"/>
    <w:link w:val="Heading3Char"/>
    <w:uiPriority w:val="12"/>
    <w:unhideWhenUsed/>
    <w:rsid w:val="002C039E"/>
    <w:pPr>
      <w:keepNext/>
      <w:numPr>
        <w:ilvl w:val="2"/>
        <w:numId w:val="6"/>
      </w:numPr>
      <w:tabs>
        <w:tab w:val="left" w:pos="0"/>
      </w:tabs>
      <w:spacing w:before="200" w:after="0" w:line="240" w:lineRule="auto"/>
      <w:outlineLvl w:val="2"/>
    </w:pPr>
    <w:rPr>
      <w:rFonts w:asciiTheme="majorHAnsi" w:eastAsiaTheme="minorHAnsi" w:hAnsiTheme="majorHAnsi" w:cstheme="majorHAnsi"/>
      <w:i/>
      <w:color w:val="4472C4" w:themeColor="accent1"/>
      <w:sz w:val="20"/>
      <w:lang w:val="en-CA"/>
    </w:rPr>
  </w:style>
  <w:style w:type="paragraph" w:styleId="Heading4">
    <w:name w:val="heading 4"/>
    <w:basedOn w:val="Normal"/>
    <w:next w:val="Normal"/>
    <w:link w:val="Heading4Char"/>
    <w:uiPriority w:val="12"/>
    <w:unhideWhenUsed/>
    <w:rsid w:val="002C039E"/>
    <w:pPr>
      <w:keepNext/>
      <w:numPr>
        <w:ilvl w:val="3"/>
        <w:numId w:val="6"/>
      </w:numPr>
      <w:tabs>
        <w:tab w:val="left" w:pos="0"/>
      </w:tabs>
      <w:spacing w:before="200" w:after="0" w:line="240" w:lineRule="auto"/>
      <w:outlineLvl w:val="3"/>
    </w:pPr>
    <w:rPr>
      <w:rFonts w:asciiTheme="majorHAnsi" w:eastAsiaTheme="minorHAnsi" w:hAnsiTheme="majorHAnsi" w:cstheme="majorHAnsi"/>
      <w:b/>
      <w:i/>
      <w:color w:val="4472C4" w:themeColor="accent1"/>
      <w:sz w:val="20"/>
      <w:lang w:val="en-CA"/>
    </w:rPr>
  </w:style>
  <w:style w:type="paragraph" w:styleId="Heading5">
    <w:name w:val="heading 5"/>
    <w:basedOn w:val="Normal"/>
    <w:next w:val="Normal"/>
    <w:link w:val="Heading5Char"/>
    <w:uiPriority w:val="12"/>
    <w:unhideWhenUsed/>
    <w:rsid w:val="002C039E"/>
    <w:pPr>
      <w:keepNext/>
      <w:numPr>
        <w:ilvl w:val="4"/>
        <w:numId w:val="6"/>
      </w:numPr>
      <w:spacing w:before="200" w:after="0" w:line="240" w:lineRule="auto"/>
      <w:outlineLvl w:val="4"/>
    </w:pPr>
    <w:rPr>
      <w:rFonts w:asciiTheme="majorHAnsi" w:eastAsiaTheme="minorHAnsi" w:hAnsiTheme="majorHAnsi" w:cstheme="majorHAnsi"/>
      <w:b/>
      <w:color w:val="1F3763" w:themeColor="accent1" w:themeShade="7F"/>
      <w:sz w:val="20"/>
      <w:lang w:val="en-CA"/>
    </w:rPr>
  </w:style>
  <w:style w:type="paragraph" w:styleId="Heading6">
    <w:name w:val="heading 6"/>
    <w:basedOn w:val="Normal"/>
    <w:next w:val="Normal"/>
    <w:link w:val="Heading6Char"/>
    <w:uiPriority w:val="12"/>
    <w:unhideWhenUsed/>
    <w:rsid w:val="002C039E"/>
    <w:pPr>
      <w:keepNext/>
      <w:numPr>
        <w:ilvl w:val="5"/>
        <w:numId w:val="6"/>
      </w:numPr>
      <w:tabs>
        <w:tab w:val="left" w:pos="0"/>
      </w:tabs>
      <w:spacing w:before="200" w:after="0" w:line="240" w:lineRule="auto"/>
      <w:outlineLvl w:val="5"/>
    </w:pPr>
    <w:rPr>
      <w:rFonts w:asciiTheme="majorHAnsi" w:eastAsiaTheme="minorHAnsi" w:hAnsiTheme="majorHAnsi" w:cstheme="majorHAnsi"/>
      <w:color w:val="1F3763" w:themeColor="accent1" w:themeShade="7F"/>
      <w:sz w:val="20"/>
      <w:lang w:val="en-CA"/>
    </w:rPr>
  </w:style>
  <w:style w:type="paragraph" w:styleId="Heading7">
    <w:name w:val="heading 7"/>
    <w:basedOn w:val="Normal"/>
    <w:next w:val="Normal"/>
    <w:link w:val="Heading7Char"/>
    <w:uiPriority w:val="12"/>
    <w:unhideWhenUsed/>
    <w:rsid w:val="002C039E"/>
    <w:pPr>
      <w:keepNext/>
      <w:numPr>
        <w:ilvl w:val="6"/>
        <w:numId w:val="6"/>
      </w:numPr>
      <w:tabs>
        <w:tab w:val="left" w:pos="0"/>
      </w:tabs>
      <w:spacing w:before="200" w:after="0" w:line="240" w:lineRule="auto"/>
      <w:outlineLvl w:val="6"/>
    </w:pPr>
    <w:rPr>
      <w:rFonts w:asciiTheme="majorHAnsi" w:eastAsiaTheme="minorHAnsi" w:hAnsiTheme="majorHAnsi" w:cstheme="majorHAnsi"/>
      <w:color w:val="1F3763" w:themeColor="accent1" w:themeShade="7F"/>
      <w:sz w:val="20"/>
      <w:lang w:val="en-CA"/>
    </w:rPr>
  </w:style>
  <w:style w:type="paragraph" w:styleId="Heading8">
    <w:name w:val="heading 8"/>
    <w:basedOn w:val="Normal"/>
    <w:next w:val="Normal"/>
    <w:link w:val="Heading8Char"/>
    <w:uiPriority w:val="12"/>
    <w:unhideWhenUsed/>
    <w:rsid w:val="002C039E"/>
    <w:pPr>
      <w:keepNext/>
      <w:numPr>
        <w:ilvl w:val="7"/>
        <w:numId w:val="6"/>
      </w:numPr>
      <w:tabs>
        <w:tab w:val="left" w:pos="0"/>
      </w:tabs>
      <w:spacing w:before="200" w:after="0" w:line="240" w:lineRule="auto"/>
      <w:outlineLvl w:val="7"/>
    </w:pPr>
    <w:rPr>
      <w:rFonts w:asciiTheme="majorHAnsi" w:eastAsiaTheme="minorHAnsi" w:hAnsiTheme="majorHAnsi" w:cstheme="majorHAnsi"/>
      <w:color w:val="1F3763" w:themeColor="accent1" w:themeShade="7F"/>
      <w:sz w:val="20"/>
      <w:lang w:val="en-CA"/>
    </w:rPr>
  </w:style>
  <w:style w:type="paragraph" w:styleId="Heading9">
    <w:name w:val="heading 9"/>
    <w:basedOn w:val="Normal"/>
    <w:next w:val="Normal"/>
    <w:link w:val="Heading9Char"/>
    <w:uiPriority w:val="12"/>
    <w:unhideWhenUsed/>
    <w:rsid w:val="002C039E"/>
    <w:pPr>
      <w:keepNext/>
      <w:numPr>
        <w:ilvl w:val="8"/>
        <w:numId w:val="6"/>
      </w:numPr>
      <w:tabs>
        <w:tab w:val="left" w:pos="0"/>
      </w:tabs>
      <w:spacing w:before="200" w:after="0" w:line="240" w:lineRule="auto"/>
      <w:outlineLvl w:val="8"/>
    </w:pPr>
    <w:rPr>
      <w:rFonts w:asciiTheme="majorHAnsi" w:eastAsiaTheme="minorHAnsi" w:hAnsiTheme="majorHAnsi" w:cstheme="majorHAnsi"/>
      <w:color w:val="1F3763" w:themeColor="accent1" w:themeShade="7F"/>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4"/>
    <w:qFormat/>
    <w:rsid w:val="00034A4F"/>
    <w:pPr>
      <w:widowControl w:val="0"/>
      <w:autoSpaceDE w:val="0"/>
      <w:autoSpaceDN w:val="0"/>
      <w:spacing w:after="0" w:line="240" w:lineRule="auto"/>
      <w:jc w:val="both"/>
    </w:pPr>
    <w:rPr>
      <w:rFonts w:ascii="Times New Roman" w:eastAsia="Times New Roman" w:hAnsi="Times New Roman" w:cs="Times New Roman"/>
      <w:sz w:val="20"/>
      <w:szCs w:val="20"/>
      <w:lang w:val="it-IT" w:eastAsia="it-IT" w:bidi="it-IT"/>
    </w:rPr>
  </w:style>
  <w:style w:type="character" w:customStyle="1" w:styleId="BodyTextChar">
    <w:name w:val="Body Text Char"/>
    <w:basedOn w:val="DefaultParagraphFont"/>
    <w:link w:val="BodyText"/>
    <w:uiPriority w:val="14"/>
    <w:rsid w:val="00034A4F"/>
    <w:rPr>
      <w:rFonts w:ascii="Times New Roman" w:eastAsia="Times New Roman" w:hAnsi="Times New Roman" w:cs="Times New Roman"/>
      <w:sz w:val="20"/>
      <w:szCs w:val="20"/>
      <w:lang w:val="it-IT" w:eastAsia="it-IT" w:bidi="it-IT"/>
    </w:rPr>
  </w:style>
  <w:style w:type="paragraph" w:styleId="ListParagraph">
    <w:name w:val="List Paragraph"/>
    <w:basedOn w:val="Normal"/>
    <w:uiPriority w:val="34"/>
    <w:qFormat/>
    <w:rsid w:val="00A61084"/>
    <w:pPr>
      <w:spacing w:line="259" w:lineRule="auto"/>
      <w:ind w:left="720"/>
      <w:contextualSpacing/>
      <w:jc w:val="both"/>
    </w:pPr>
    <w:rPr>
      <w:rFonts w:ascii="Arial" w:eastAsiaTheme="minorHAnsi" w:hAnsi="Arial"/>
    </w:rPr>
  </w:style>
  <w:style w:type="paragraph" w:customStyle="1" w:styleId="NumberingLevel1">
    <w:name w:val="Numbering Level 1"/>
    <w:basedOn w:val="Normal"/>
    <w:rsid w:val="00A61084"/>
    <w:pPr>
      <w:numPr>
        <w:numId w:val="2"/>
      </w:numPr>
      <w:spacing w:after="180" w:line="300" w:lineRule="atLeast"/>
      <w:ind w:left="720"/>
      <w:jc w:val="both"/>
    </w:pPr>
    <w:rPr>
      <w:rFonts w:ascii="Arial" w:eastAsia="Times New Roman" w:hAnsi="Arial" w:cs="Arial"/>
      <w:b/>
      <w:lang w:eastAsia="en-GB"/>
    </w:rPr>
  </w:style>
  <w:style w:type="paragraph" w:styleId="Header">
    <w:name w:val="header"/>
    <w:basedOn w:val="Normal"/>
    <w:link w:val="HeaderChar"/>
    <w:uiPriority w:val="99"/>
    <w:unhideWhenUsed/>
    <w:rsid w:val="00896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1B2"/>
    <w:rPr>
      <w:rFonts w:eastAsia="MS Mincho"/>
    </w:rPr>
  </w:style>
  <w:style w:type="paragraph" w:styleId="Footer">
    <w:name w:val="footer"/>
    <w:basedOn w:val="Normal"/>
    <w:link w:val="FooterChar"/>
    <w:uiPriority w:val="99"/>
    <w:unhideWhenUsed/>
    <w:rsid w:val="00896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1B2"/>
    <w:rPr>
      <w:rFonts w:eastAsia="MS Mincho"/>
    </w:rPr>
  </w:style>
  <w:style w:type="paragraph" w:styleId="Revision">
    <w:name w:val="Revision"/>
    <w:hidden/>
    <w:uiPriority w:val="99"/>
    <w:semiHidden/>
    <w:rsid w:val="00855302"/>
    <w:pPr>
      <w:spacing w:after="0" w:line="240" w:lineRule="auto"/>
    </w:pPr>
    <w:rPr>
      <w:rFonts w:eastAsia="MS Mincho"/>
    </w:rPr>
  </w:style>
  <w:style w:type="character" w:styleId="CommentReference">
    <w:name w:val="annotation reference"/>
    <w:basedOn w:val="DefaultParagraphFont"/>
    <w:uiPriority w:val="99"/>
    <w:semiHidden/>
    <w:unhideWhenUsed/>
    <w:rsid w:val="00EB6071"/>
    <w:rPr>
      <w:sz w:val="16"/>
      <w:szCs w:val="16"/>
    </w:rPr>
  </w:style>
  <w:style w:type="paragraph" w:styleId="CommentText">
    <w:name w:val="annotation text"/>
    <w:basedOn w:val="Normal"/>
    <w:link w:val="CommentTextChar"/>
    <w:uiPriority w:val="99"/>
    <w:unhideWhenUsed/>
    <w:rsid w:val="00EB6071"/>
    <w:pPr>
      <w:spacing w:line="240" w:lineRule="auto"/>
    </w:pPr>
    <w:rPr>
      <w:sz w:val="20"/>
      <w:szCs w:val="20"/>
    </w:rPr>
  </w:style>
  <w:style w:type="character" w:customStyle="1" w:styleId="CommentTextChar">
    <w:name w:val="Comment Text Char"/>
    <w:basedOn w:val="DefaultParagraphFont"/>
    <w:link w:val="CommentText"/>
    <w:uiPriority w:val="99"/>
    <w:rsid w:val="00EB6071"/>
    <w:rPr>
      <w:rFonts w:eastAsia="MS Mincho"/>
      <w:sz w:val="20"/>
      <w:szCs w:val="20"/>
    </w:rPr>
  </w:style>
  <w:style w:type="paragraph" w:styleId="CommentSubject">
    <w:name w:val="annotation subject"/>
    <w:basedOn w:val="CommentText"/>
    <w:next w:val="CommentText"/>
    <w:link w:val="CommentSubjectChar"/>
    <w:uiPriority w:val="99"/>
    <w:semiHidden/>
    <w:unhideWhenUsed/>
    <w:rsid w:val="00EB6071"/>
    <w:rPr>
      <w:b/>
      <w:bCs/>
    </w:rPr>
  </w:style>
  <w:style w:type="character" w:customStyle="1" w:styleId="CommentSubjectChar">
    <w:name w:val="Comment Subject Char"/>
    <w:basedOn w:val="CommentTextChar"/>
    <w:link w:val="CommentSubject"/>
    <w:uiPriority w:val="99"/>
    <w:semiHidden/>
    <w:rsid w:val="00EB6071"/>
    <w:rPr>
      <w:rFonts w:eastAsia="MS Mincho"/>
      <w:b/>
      <w:bCs/>
      <w:sz w:val="20"/>
      <w:szCs w:val="20"/>
    </w:rPr>
  </w:style>
  <w:style w:type="paragraph" w:customStyle="1" w:styleId="an">
    <w:name w:val="an"/>
    <w:basedOn w:val="Normal"/>
    <w:rsid w:val="00211E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
    <w:name w:val="z"/>
    <w:basedOn w:val="DefaultParagraphFont"/>
    <w:rsid w:val="00211E14"/>
  </w:style>
  <w:style w:type="paragraph" w:styleId="NormalWeb">
    <w:name w:val="Normal (Web)"/>
    <w:basedOn w:val="Normal"/>
    <w:uiPriority w:val="99"/>
    <w:semiHidden/>
    <w:unhideWhenUsed/>
    <w:rsid w:val="00824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2"/>
    <w:rsid w:val="002C039E"/>
    <w:rPr>
      <w:rFonts w:asciiTheme="majorHAnsi" w:hAnsiTheme="majorHAnsi" w:cstheme="majorHAnsi"/>
      <w:b/>
      <w:color w:val="4472C4" w:themeColor="accent1"/>
      <w:sz w:val="20"/>
      <w:lang w:val="en-CA"/>
    </w:rPr>
  </w:style>
  <w:style w:type="character" w:customStyle="1" w:styleId="Heading2Char">
    <w:name w:val="Heading 2 Char"/>
    <w:basedOn w:val="DefaultParagraphFont"/>
    <w:link w:val="Heading2"/>
    <w:uiPriority w:val="12"/>
    <w:rsid w:val="002C039E"/>
    <w:rPr>
      <w:rFonts w:asciiTheme="majorHAnsi" w:hAnsiTheme="majorHAnsi" w:cstheme="majorHAnsi"/>
      <w:b/>
      <w:color w:val="4472C4" w:themeColor="accent1"/>
      <w:sz w:val="20"/>
      <w:lang w:val="en-CA"/>
    </w:rPr>
  </w:style>
  <w:style w:type="character" w:customStyle="1" w:styleId="Heading3Char">
    <w:name w:val="Heading 3 Char"/>
    <w:basedOn w:val="DefaultParagraphFont"/>
    <w:link w:val="Heading3"/>
    <w:uiPriority w:val="12"/>
    <w:rsid w:val="002C039E"/>
    <w:rPr>
      <w:rFonts w:asciiTheme="majorHAnsi" w:hAnsiTheme="majorHAnsi" w:cstheme="majorHAnsi"/>
      <w:i/>
      <w:color w:val="4472C4" w:themeColor="accent1"/>
      <w:sz w:val="20"/>
      <w:lang w:val="en-CA"/>
    </w:rPr>
  </w:style>
  <w:style w:type="character" w:customStyle="1" w:styleId="Heading4Char">
    <w:name w:val="Heading 4 Char"/>
    <w:basedOn w:val="DefaultParagraphFont"/>
    <w:link w:val="Heading4"/>
    <w:uiPriority w:val="12"/>
    <w:rsid w:val="002C039E"/>
    <w:rPr>
      <w:rFonts w:asciiTheme="majorHAnsi" w:hAnsiTheme="majorHAnsi" w:cstheme="majorHAnsi"/>
      <w:b/>
      <w:i/>
      <w:color w:val="4472C4" w:themeColor="accent1"/>
      <w:sz w:val="20"/>
      <w:lang w:val="en-CA"/>
    </w:rPr>
  </w:style>
  <w:style w:type="character" w:customStyle="1" w:styleId="Heading5Char">
    <w:name w:val="Heading 5 Char"/>
    <w:basedOn w:val="DefaultParagraphFont"/>
    <w:link w:val="Heading5"/>
    <w:uiPriority w:val="12"/>
    <w:rsid w:val="002C039E"/>
    <w:rPr>
      <w:rFonts w:asciiTheme="majorHAnsi" w:hAnsiTheme="majorHAnsi" w:cstheme="majorHAnsi"/>
      <w:b/>
      <w:color w:val="1F3763" w:themeColor="accent1" w:themeShade="7F"/>
      <w:sz w:val="20"/>
      <w:lang w:val="en-CA"/>
    </w:rPr>
  </w:style>
  <w:style w:type="character" w:customStyle="1" w:styleId="Heading6Char">
    <w:name w:val="Heading 6 Char"/>
    <w:basedOn w:val="DefaultParagraphFont"/>
    <w:link w:val="Heading6"/>
    <w:uiPriority w:val="12"/>
    <w:rsid w:val="002C039E"/>
    <w:rPr>
      <w:rFonts w:asciiTheme="majorHAnsi" w:hAnsiTheme="majorHAnsi" w:cstheme="majorHAnsi"/>
      <w:color w:val="1F3763" w:themeColor="accent1" w:themeShade="7F"/>
      <w:sz w:val="20"/>
      <w:lang w:val="en-CA"/>
    </w:rPr>
  </w:style>
  <w:style w:type="character" w:customStyle="1" w:styleId="Heading7Char">
    <w:name w:val="Heading 7 Char"/>
    <w:basedOn w:val="DefaultParagraphFont"/>
    <w:link w:val="Heading7"/>
    <w:uiPriority w:val="12"/>
    <w:rsid w:val="002C039E"/>
    <w:rPr>
      <w:rFonts w:asciiTheme="majorHAnsi" w:hAnsiTheme="majorHAnsi" w:cstheme="majorHAnsi"/>
      <w:color w:val="1F3763" w:themeColor="accent1" w:themeShade="7F"/>
      <w:sz w:val="20"/>
      <w:lang w:val="en-CA"/>
    </w:rPr>
  </w:style>
  <w:style w:type="character" w:customStyle="1" w:styleId="Heading8Char">
    <w:name w:val="Heading 8 Char"/>
    <w:basedOn w:val="DefaultParagraphFont"/>
    <w:link w:val="Heading8"/>
    <w:uiPriority w:val="12"/>
    <w:rsid w:val="002C039E"/>
    <w:rPr>
      <w:rFonts w:asciiTheme="majorHAnsi" w:hAnsiTheme="majorHAnsi" w:cstheme="majorHAnsi"/>
      <w:color w:val="1F3763" w:themeColor="accent1" w:themeShade="7F"/>
      <w:sz w:val="20"/>
      <w:lang w:val="en-CA"/>
    </w:rPr>
  </w:style>
  <w:style w:type="character" w:customStyle="1" w:styleId="Heading9Char">
    <w:name w:val="Heading 9 Char"/>
    <w:basedOn w:val="DefaultParagraphFont"/>
    <w:link w:val="Heading9"/>
    <w:uiPriority w:val="12"/>
    <w:rsid w:val="002C039E"/>
    <w:rPr>
      <w:rFonts w:asciiTheme="majorHAnsi" w:hAnsiTheme="majorHAnsi" w:cstheme="majorHAnsi"/>
      <w:color w:val="1F3763" w:themeColor="accent1" w:themeShade="7F"/>
      <w:sz w:val="20"/>
      <w:lang w:val="en-CA"/>
    </w:rPr>
  </w:style>
  <w:style w:type="paragraph" w:customStyle="1" w:styleId="TableTableau">
    <w:name w:val="Table / Tableau"/>
    <w:basedOn w:val="Normal"/>
    <w:link w:val="TableTableauChar"/>
    <w:uiPriority w:val="15"/>
    <w:qFormat/>
    <w:rsid w:val="002C039E"/>
    <w:pPr>
      <w:spacing w:before="60" w:after="60" w:line="240" w:lineRule="auto"/>
    </w:pPr>
    <w:rPr>
      <w:rFonts w:eastAsia="Times New Roman" w:cs="Times New Roman"/>
      <w:color w:val="000000" w:themeColor="text1"/>
      <w:sz w:val="20"/>
      <w:szCs w:val="24"/>
      <w:lang w:val="en-CA"/>
    </w:rPr>
  </w:style>
  <w:style w:type="character" w:customStyle="1" w:styleId="TableTableauChar">
    <w:name w:val="Table / Tableau Char"/>
    <w:basedOn w:val="DefaultParagraphFont"/>
    <w:link w:val="TableTableau"/>
    <w:uiPriority w:val="15"/>
    <w:rsid w:val="002C039E"/>
    <w:rPr>
      <w:rFonts w:eastAsia="Times New Roman" w:cs="Times New Roman"/>
      <w:color w:val="000000" w:themeColor="text1"/>
      <w:sz w:val="20"/>
      <w:szCs w:val="24"/>
      <w:lang w:val="en-CA"/>
    </w:rPr>
  </w:style>
  <w:style w:type="numbering" w:customStyle="1" w:styleId="z-listHeading">
    <w:name w:val="z-list Heading"/>
    <w:basedOn w:val="NoList"/>
    <w:rsid w:val="002C039E"/>
    <w:pPr>
      <w:numPr>
        <w:numId w:val="6"/>
      </w:numPr>
    </w:pPr>
  </w:style>
  <w:style w:type="paragraph" w:customStyle="1" w:styleId="Headingext2">
    <w:name w:val="Heading ext 2"/>
    <w:basedOn w:val="Normal"/>
    <w:uiPriority w:val="13"/>
    <w:qFormat/>
    <w:rsid w:val="002C039E"/>
    <w:pPr>
      <w:spacing w:before="200" w:after="0" w:line="240" w:lineRule="auto"/>
      <w:jc w:val="both"/>
    </w:pPr>
    <w:rPr>
      <w:rFonts w:eastAsiaTheme="minorHAnsi" w:cstheme="minorHAnsi"/>
      <w:color w:val="000000" w:themeColor="text1"/>
      <w:sz w:val="20"/>
      <w:lang w:val="en-CA"/>
    </w:rPr>
  </w:style>
  <w:style w:type="table" w:styleId="TableGrid">
    <w:name w:val="Table Grid"/>
    <w:basedOn w:val="TableNormal"/>
    <w:uiPriority w:val="59"/>
    <w:rsid w:val="002C039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BodyText"/>
    <w:next w:val="Normal"/>
    <w:uiPriority w:val="17"/>
    <w:qFormat/>
    <w:rsid w:val="002C039E"/>
    <w:pPr>
      <w:keepNext/>
      <w:widowControl/>
      <w:numPr>
        <w:numId w:val="7"/>
      </w:numPr>
      <w:autoSpaceDE/>
      <w:autoSpaceDN/>
      <w:spacing w:after="200" w:line="288" w:lineRule="auto"/>
      <w:outlineLvl w:val="0"/>
    </w:pPr>
    <w:rPr>
      <w:rFonts w:asciiTheme="minorHAnsi" w:eastAsiaTheme="minorHAnsi" w:hAnsiTheme="minorHAnsi" w:cstheme="minorBidi"/>
      <w:b/>
      <w:bCs/>
      <w:caps/>
      <w:sz w:val="22"/>
      <w:szCs w:val="24"/>
      <w:lang w:val="en-GB" w:eastAsia="en-US" w:bidi="ar-SA"/>
    </w:rPr>
  </w:style>
  <w:style w:type="paragraph" w:customStyle="1" w:styleId="Level2Number">
    <w:name w:val="Level 2 Number"/>
    <w:basedOn w:val="BodyText"/>
    <w:uiPriority w:val="19"/>
    <w:qFormat/>
    <w:rsid w:val="002C039E"/>
    <w:pPr>
      <w:widowControl/>
      <w:numPr>
        <w:ilvl w:val="1"/>
        <w:numId w:val="7"/>
      </w:numPr>
      <w:autoSpaceDE/>
      <w:autoSpaceDN/>
      <w:spacing w:after="200" w:line="288" w:lineRule="auto"/>
    </w:pPr>
    <w:rPr>
      <w:rFonts w:asciiTheme="minorHAnsi" w:eastAsiaTheme="minorHAnsi" w:hAnsiTheme="minorHAnsi" w:cstheme="minorBidi"/>
      <w:sz w:val="22"/>
      <w:szCs w:val="22"/>
      <w:lang w:val="en-GB" w:eastAsia="en-US" w:bidi="ar-SA"/>
    </w:rPr>
  </w:style>
  <w:style w:type="paragraph" w:customStyle="1" w:styleId="Level3Number">
    <w:name w:val="Level 3 Number"/>
    <w:basedOn w:val="BodyText"/>
    <w:uiPriority w:val="19"/>
    <w:qFormat/>
    <w:rsid w:val="002C039E"/>
    <w:pPr>
      <w:widowControl/>
      <w:numPr>
        <w:ilvl w:val="2"/>
        <w:numId w:val="7"/>
      </w:numPr>
      <w:autoSpaceDE/>
      <w:autoSpaceDN/>
      <w:spacing w:after="200" w:line="288" w:lineRule="auto"/>
    </w:pPr>
    <w:rPr>
      <w:rFonts w:asciiTheme="minorHAnsi" w:eastAsiaTheme="minorHAnsi" w:hAnsiTheme="minorHAnsi" w:cstheme="minorBidi"/>
      <w:sz w:val="22"/>
      <w:szCs w:val="22"/>
      <w:lang w:val="en-GB" w:eastAsia="en-US" w:bidi="ar-SA"/>
    </w:rPr>
  </w:style>
  <w:style w:type="paragraph" w:customStyle="1" w:styleId="Level4Number">
    <w:name w:val="Level 4 Number"/>
    <w:basedOn w:val="BodyText"/>
    <w:uiPriority w:val="19"/>
    <w:qFormat/>
    <w:rsid w:val="002C039E"/>
    <w:pPr>
      <w:widowControl/>
      <w:numPr>
        <w:ilvl w:val="3"/>
        <w:numId w:val="7"/>
      </w:numPr>
      <w:autoSpaceDE/>
      <w:autoSpaceDN/>
      <w:spacing w:after="200" w:line="288" w:lineRule="auto"/>
    </w:pPr>
    <w:rPr>
      <w:rFonts w:asciiTheme="minorHAnsi" w:eastAsiaTheme="minorHAnsi" w:hAnsiTheme="minorHAnsi" w:cstheme="minorBidi"/>
      <w:sz w:val="22"/>
      <w:szCs w:val="22"/>
      <w:lang w:val="en-GB" w:eastAsia="en-US" w:bidi="ar-SA"/>
    </w:rPr>
  </w:style>
  <w:style w:type="paragraph" w:customStyle="1" w:styleId="Level5Number">
    <w:name w:val="Level 5 Number"/>
    <w:basedOn w:val="BodyText"/>
    <w:uiPriority w:val="19"/>
    <w:rsid w:val="002C039E"/>
    <w:pPr>
      <w:widowControl/>
      <w:numPr>
        <w:ilvl w:val="4"/>
        <w:numId w:val="7"/>
      </w:numPr>
      <w:autoSpaceDE/>
      <w:autoSpaceDN/>
      <w:spacing w:after="200" w:line="288" w:lineRule="auto"/>
    </w:pPr>
    <w:rPr>
      <w:rFonts w:asciiTheme="minorHAnsi" w:eastAsiaTheme="minorHAnsi" w:hAnsiTheme="minorHAnsi" w:cstheme="minorBidi"/>
      <w:sz w:val="22"/>
      <w:szCs w:val="22"/>
      <w:lang w:val="en-GB" w:eastAsia="en-US" w:bidi="ar-SA"/>
    </w:rPr>
  </w:style>
  <w:style w:type="paragraph" w:customStyle="1" w:styleId="Level6Number">
    <w:name w:val="Level 6 Number"/>
    <w:basedOn w:val="BodyText"/>
    <w:uiPriority w:val="19"/>
    <w:rsid w:val="002C039E"/>
    <w:pPr>
      <w:widowControl/>
      <w:numPr>
        <w:ilvl w:val="5"/>
        <w:numId w:val="7"/>
      </w:numPr>
      <w:autoSpaceDE/>
      <w:autoSpaceDN/>
      <w:spacing w:after="200" w:line="288" w:lineRule="auto"/>
    </w:pPr>
    <w:rPr>
      <w:rFonts w:asciiTheme="minorHAnsi" w:eastAsiaTheme="minorHAnsi" w:hAnsiTheme="minorHAnsi" w:cstheme="minorBidi"/>
      <w:sz w:val="22"/>
      <w:szCs w:val="22"/>
      <w:lang w:val="en-GB" w:eastAsia="en-US" w:bidi="ar-SA"/>
    </w:rPr>
  </w:style>
  <w:style w:type="numbering" w:customStyle="1" w:styleId="MainNumbering">
    <w:name w:val="Main Numbering"/>
    <w:uiPriority w:val="99"/>
    <w:rsid w:val="002C039E"/>
    <w:pPr>
      <w:numPr>
        <w:numId w:val="7"/>
      </w:numPr>
    </w:pPr>
  </w:style>
  <w:style w:type="character" w:styleId="Hyperlink">
    <w:name w:val="Hyperlink"/>
    <w:basedOn w:val="DefaultParagraphFont"/>
    <w:uiPriority w:val="99"/>
    <w:unhideWhenUsed/>
    <w:rsid w:val="00BE134C"/>
    <w:rPr>
      <w:color w:val="0563C1" w:themeColor="hyperlink"/>
      <w:u w:val="single"/>
    </w:rPr>
  </w:style>
  <w:style w:type="paragraph" w:customStyle="1" w:styleId="SchedClauses">
    <w:name w:val="Sched Clauses"/>
    <w:basedOn w:val="Normal"/>
    <w:uiPriority w:val="99"/>
    <w:rsid w:val="00BE134C"/>
    <w:pPr>
      <w:spacing w:before="200" w:after="60" w:line="240" w:lineRule="auto"/>
      <w:jc w:val="both"/>
    </w:pPr>
    <w:rPr>
      <w:rFonts w:ascii="Arial" w:eastAsia="Times New Roman" w:hAnsi="Arial" w:cs="Times New Roman"/>
      <w:sz w:val="20"/>
      <w:szCs w:val="20"/>
      <w:lang w:eastAsia="en-GB"/>
    </w:rPr>
  </w:style>
  <w:style w:type="numbering" w:customStyle="1" w:styleId="z-listBullet">
    <w:name w:val="z-list Bullet"/>
    <w:basedOn w:val="NoList"/>
    <w:rsid w:val="007D044D"/>
    <w:pPr>
      <w:numPr>
        <w:numId w:val="11"/>
      </w:numPr>
    </w:pPr>
  </w:style>
  <w:style w:type="paragraph" w:customStyle="1" w:styleId="Bullet1">
    <w:name w:val="Bullet 1"/>
    <w:basedOn w:val="Normal"/>
    <w:uiPriority w:val="29"/>
    <w:qFormat/>
    <w:rsid w:val="007D044D"/>
    <w:pPr>
      <w:numPr>
        <w:numId w:val="11"/>
      </w:numPr>
      <w:tabs>
        <w:tab w:val="left" w:pos="0"/>
      </w:tabs>
      <w:spacing w:before="200" w:after="0" w:line="240" w:lineRule="auto"/>
      <w:jc w:val="both"/>
    </w:pPr>
    <w:rPr>
      <w:rFonts w:ascii="Arial" w:eastAsiaTheme="minorHAnsi" w:hAnsi="Arial" w:cstheme="minorHAnsi"/>
      <w:color w:val="000000" w:themeColor="text1"/>
      <w:sz w:val="20"/>
      <w:lang w:val="en-CA"/>
    </w:rPr>
  </w:style>
  <w:style w:type="paragraph" w:customStyle="1" w:styleId="Bullet2">
    <w:name w:val="Bullet 2"/>
    <w:basedOn w:val="Normal"/>
    <w:uiPriority w:val="29"/>
    <w:qFormat/>
    <w:rsid w:val="007D044D"/>
    <w:pPr>
      <w:numPr>
        <w:ilvl w:val="1"/>
        <w:numId w:val="11"/>
      </w:numPr>
      <w:spacing w:before="200" w:after="0" w:line="240" w:lineRule="auto"/>
      <w:jc w:val="both"/>
    </w:pPr>
    <w:rPr>
      <w:rFonts w:eastAsiaTheme="minorHAnsi" w:cstheme="minorHAnsi"/>
      <w:color w:val="000000" w:themeColor="text1"/>
      <w:sz w:val="20"/>
      <w:lang w:val="en-CA"/>
    </w:rPr>
  </w:style>
  <w:style w:type="paragraph" w:customStyle="1" w:styleId="Bullet3">
    <w:name w:val="Bullet 3"/>
    <w:basedOn w:val="Normal"/>
    <w:uiPriority w:val="29"/>
    <w:qFormat/>
    <w:rsid w:val="007D044D"/>
    <w:pPr>
      <w:numPr>
        <w:ilvl w:val="2"/>
        <w:numId w:val="11"/>
      </w:numPr>
      <w:spacing w:before="200" w:after="0" w:line="240" w:lineRule="auto"/>
      <w:jc w:val="both"/>
    </w:pPr>
    <w:rPr>
      <w:rFonts w:eastAsiaTheme="minorHAnsi" w:cstheme="minorHAnsi"/>
      <w:color w:val="000000" w:themeColor="text1"/>
      <w:sz w:val="20"/>
      <w:lang w:val="en-CA"/>
    </w:rPr>
  </w:style>
  <w:style w:type="paragraph" w:customStyle="1" w:styleId="Bullet4">
    <w:name w:val="Bullet 4"/>
    <w:basedOn w:val="Normal"/>
    <w:uiPriority w:val="29"/>
    <w:rsid w:val="007D044D"/>
    <w:pPr>
      <w:numPr>
        <w:ilvl w:val="3"/>
        <w:numId w:val="11"/>
      </w:numPr>
      <w:spacing w:before="200" w:after="0" w:line="240" w:lineRule="auto"/>
      <w:jc w:val="both"/>
    </w:pPr>
    <w:rPr>
      <w:rFonts w:eastAsiaTheme="minorHAnsi" w:cstheme="minorHAnsi"/>
      <w:color w:val="000000" w:themeColor="text1"/>
      <w:sz w:val="20"/>
      <w:lang w:val="en-CA"/>
    </w:rPr>
  </w:style>
  <w:style w:type="paragraph" w:customStyle="1" w:styleId="Bullet5">
    <w:name w:val="Bullet 5"/>
    <w:basedOn w:val="Normal"/>
    <w:uiPriority w:val="29"/>
    <w:rsid w:val="007D044D"/>
    <w:pPr>
      <w:numPr>
        <w:ilvl w:val="4"/>
        <w:numId w:val="11"/>
      </w:numPr>
      <w:spacing w:before="200" w:after="0" w:line="240" w:lineRule="auto"/>
      <w:jc w:val="both"/>
    </w:pPr>
    <w:rPr>
      <w:rFonts w:eastAsiaTheme="minorHAnsi" w:cstheme="minorHAnsi"/>
      <w:color w:val="000000" w:themeColor="text1"/>
      <w:sz w:val="20"/>
      <w:lang w:val="en-CA"/>
    </w:rPr>
  </w:style>
  <w:style w:type="paragraph" w:customStyle="1" w:styleId="Bullet6">
    <w:name w:val="Bullet 6"/>
    <w:basedOn w:val="Normal"/>
    <w:uiPriority w:val="29"/>
    <w:rsid w:val="007D044D"/>
    <w:pPr>
      <w:numPr>
        <w:ilvl w:val="5"/>
        <w:numId w:val="11"/>
      </w:numPr>
      <w:spacing w:before="200" w:after="0" w:line="240" w:lineRule="auto"/>
      <w:jc w:val="both"/>
    </w:pPr>
    <w:rPr>
      <w:rFonts w:eastAsiaTheme="minorHAnsi" w:cstheme="minorHAnsi"/>
      <w:color w:val="000000" w:themeColor="text1"/>
      <w:sz w:val="20"/>
      <w:lang w:val="en-CA"/>
    </w:rPr>
  </w:style>
  <w:style w:type="paragraph" w:customStyle="1" w:styleId="Bullet7">
    <w:name w:val="Bullet 7"/>
    <w:basedOn w:val="Normal"/>
    <w:uiPriority w:val="29"/>
    <w:rsid w:val="007D044D"/>
    <w:pPr>
      <w:numPr>
        <w:ilvl w:val="6"/>
        <w:numId w:val="11"/>
      </w:numPr>
      <w:spacing w:before="200" w:after="0" w:line="240" w:lineRule="auto"/>
      <w:jc w:val="both"/>
    </w:pPr>
    <w:rPr>
      <w:rFonts w:eastAsiaTheme="minorHAnsi" w:cstheme="minorHAnsi"/>
      <w:color w:val="000000" w:themeColor="text1"/>
      <w:sz w:val="20"/>
      <w:lang w:val="en-CA"/>
    </w:rPr>
  </w:style>
  <w:style w:type="paragraph" w:customStyle="1" w:styleId="Bullet8">
    <w:name w:val="Bullet 8"/>
    <w:basedOn w:val="Normal"/>
    <w:uiPriority w:val="29"/>
    <w:rsid w:val="007D044D"/>
    <w:pPr>
      <w:numPr>
        <w:ilvl w:val="7"/>
        <w:numId w:val="11"/>
      </w:numPr>
      <w:spacing w:before="200" w:after="0" w:line="240" w:lineRule="auto"/>
      <w:jc w:val="both"/>
    </w:pPr>
    <w:rPr>
      <w:rFonts w:eastAsiaTheme="minorHAnsi" w:cstheme="minorHAnsi"/>
      <w:color w:val="000000" w:themeColor="text1"/>
      <w:sz w:val="20"/>
      <w:lang w:val="en-CA"/>
    </w:rPr>
  </w:style>
  <w:style w:type="paragraph" w:customStyle="1" w:styleId="Bullet9">
    <w:name w:val="Bullet 9"/>
    <w:basedOn w:val="Normal"/>
    <w:uiPriority w:val="29"/>
    <w:rsid w:val="007D044D"/>
    <w:pPr>
      <w:numPr>
        <w:ilvl w:val="8"/>
        <w:numId w:val="11"/>
      </w:numPr>
      <w:spacing w:before="200" w:after="0" w:line="240" w:lineRule="auto"/>
      <w:jc w:val="both"/>
    </w:pPr>
    <w:rPr>
      <w:rFonts w:eastAsiaTheme="minorHAnsi" w:cstheme="minorHAnsi"/>
      <w:color w:val="000000" w:themeColor="text1"/>
      <w:sz w:val="20"/>
      <w:lang w:val="en-CA"/>
    </w:rPr>
  </w:style>
  <w:style w:type="paragraph" w:styleId="BalloonText">
    <w:name w:val="Balloon Text"/>
    <w:basedOn w:val="Normal"/>
    <w:link w:val="BalloonTextChar"/>
    <w:uiPriority w:val="99"/>
    <w:semiHidden/>
    <w:unhideWhenUsed/>
    <w:rsid w:val="00C13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30"/>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4557">
      <w:bodyDiv w:val="1"/>
      <w:marLeft w:val="0"/>
      <w:marRight w:val="0"/>
      <w:marTop w:val="0"/>
      <w:marBottom w:val="0"/>
      <w:divBdr>
        <w:top w:val="none" w:sz="0" w:space="0" w:color="auto"/>
        <w:left w:val="none" w:sz="0" w:space="0" w:color="auto"/>
        <w:bottom w:val="none" w:sz="0" w:space="0" w:color="auto"/>
        <w:right w:val="none" w:sz="0" w:space="0" w:color="auto"/>
      </w:divBdr>
    </w:div>
    <w:div w:id="356388328">
      <w:bodyDiv w:val="1"/>
      <w:marLeft w:val="0"/>
      <w:marRight w:val="0"/>
      <w:marTop w:val="0"/>
      <w:marBottom w:val="0"/>
      <w:divBdr>
        <w:top w:val="none" w:sz="0" w:space="0" w:color="auto"/>
        <w:left w:val="none" w:sz="0" w:space="0" w:color="auto"/>
        <w:bottom w:val="none" w:sz="0" w:space="0" w:color="auto"/>
        <w:right w:val="none" w:sz="0" w:space="0" w:color="auto"/>
      </w:divBdr>
    </w:div>
    <w:div w:id="527912013">
      <w:bodyDiv w:val="1"/>
      <w:marLeft w:val="0"/>
      <w:marRight w:val="0"/>
      <w:marTop w:val="0"/>
      <w:marBottom w:val="0"/>
      <w:divBdr>
        <w:top w:val="none" w:sz="0" w:space="0" w:color="auto"/>
        <w:left w:val="none" w:sz="0" w:space="0" w:color="auto"/>
        <w:bottom w:val="none" w:sz="0" w:space="0" w:color="auto"/>
        <w:right w:val="none" w:sz="0" w:space="0" w:color="auto"/>
      </w:divBdr>
    </w:div>
    <w:div w:id="19687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ght.capit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office@slcregistrar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novfinanc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sioncapita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F6DB960ED6504FAC921037845ED49F" ma:contentTypeVersion="11" ma:contentTypeDescription="Create a new document." ma:contentTypeScope="" ma:versionID="7656bc7f3baf492be87816e67d981ebb">
  <xsd:schema xmlns:xsd="http://www.w3.org/2001/XMLSchema" xmlns:xs="http://www.w3.org/2001/XMLSchema" xmlns:p="http://schemas.microsoft.com/office/2006/metadata/properties" xmlns:ns2="40fe43fc-1258-4eed-b05e-e578c68cddf8" xmlns:ns3="62b0d144-9e5c-4d77-943f-c07e45514c5e" targetNamespace="http://schemas.microsoft.com/office/2006/metadata/properties" ma:root="true" ma:fieldsID="424f7fbfa575ad9514e3d0c55bc83240" ns2:_="" ns3:_="">
    <xsd:import namespace="40fe43fc-1258-4eed-b05e-e578c68cddf8"/>
    <xsd:import namespace="62b0d144-9e5c-4d77-943f-c07e45514c5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e43fc-1258-4eed-b05e-e578c68c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0f37f7-82ad-4d88-b08e-23a9c0258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b0d144-9e5c-4d77-943f-c07e45514c5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1cbef9e-f216-41dc-91bc-20678bfd79ae}" ma:internalName="TaxCatchAll" ma:showField="CatchAllData" ma:web="62b0d144-9e5c-4d77-943f-c07e45514c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b0d144-9e5c-4d77-943f-c07e45514c5e" xsi:nil="true"/>
    <lcf76f155ced4ddcb4097134ff3c332f xmlns="40fe43fc-1258-4eed-b05e-e578c68cdd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A46A3B-4909-F246-BC44-1F2E4176ACBA}">
  <ds:schemaRefs>
    <ds:schemaRef ds:uri="http://schemas.openxmlformats.org/officeDocument/2006/bibliography"/>
  </ds:schemaRefs>
</ds:datastoreItem>
</file>

<file path=customXml/itemProps2.xml><?xml version="1.0" encoding="utf-8"?>
<ds:datastoreItem xmlns:ds="http://schemas.openxmlformats.org/officeDocument/2006/customXml" ds:itemID="{F8483C9F-162A-4DE9-9ACF-FF8D61E0A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e43fc-1258-4eed-b05e-e578c68cddf8"/>
    <ds:schemaRef ds:uri="62b0d144-9e5c-4d77-943f-c07e4551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5D67E-8054-4C83-BD79-308291E27DEE}">
  <ds:schemaRefs>
    <ds:schemaRef ds:uri="http://schemas.microsoft.com/sharepoint/v3/contenttype/forms"/>
  </ds:schemaRefs>
</ds:datastoreItem>
</file>

<file path=customXml/itemProps4.xml><?xml version="1.0" encoding="utf-8"?>
<ds:datastoreItem xmlns:ds="http://schemas.openxmlformats.org/officeDocument/2006/customXml" ds:itemID="{8F73110B-6AD4-4650-87AB-F80119AA9BF3}">
  <ds:schemaRefs>
    <ds:schemaRef ds:uri="http://schemas.microsoft.com/office/2006/metadata/properties"/>
    <ds:schemaRef ds:uri="http://schemas.microsoft.com/office/infopath/2007/PartnerControls"/>
    <ds:schemaRef ds:uri="7c8c686c-70c7-4a32-bc55-69439e98714b"/>
    <ds:schemaRef ds:uri="4f34f0e1-dafe-4e4c-b819-66b826c75336"/>
    <ds:schemaRef ds:uri="62b0d144-9e5c-4d77-943f-c07e45514c5e"/>
    <ds:schemaRef ds:uri="40fe43fc-1258-4eed-b05e-e578c68cdd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Vann</dc:creator>
  <cp:keywords/>
  <dc:description/>
  <cp:lastModifiedBy>Paul Vann</cp:lastModifiedBy>
  <cp:revision>5</cp:revision>
  <cp:lastPrinted>2022-07-01T08:38:00Z</cp:lastPrinted>
  <dcterms:created xsi:type="dcterms:W3CDTF">2022-07-04T20:19:00Z</dcterms:created>
  <dcterms:modified xsi:type="dcterms:W3CDTF">2022-07-04T21:43:00Z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0x0101008DF6DB960ED6504FAC921037845ED49F</vt:lpwstr>
  </property>
  <property fmtid="{D5CDD505-2E9C-101B-9397-08002B2CF9AE}" pid="3" name="MediaServiceImageTags">
    <vt:lpwstr/>
  </property>
</Properties>
</file>